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YnvTAwAAAAAAAAC3x/L3j/XqszYjAQAAAAAA&#10;gMOslz4HsBkJAAAAAAAAHGT51/XqIilGAgAAAAAAAAdZl3VmWWdd1lmWq897TCsAAAAAAABwsHVm&#10;ZjnsOa02IwEAAAAAAIDrWZc5ZDVSjAQAAAAAAAAOsizLHC3LHG02s4iRAAAAAAAAwLtwvF3myaN7&#10;8+WnD+abFydiJAAAAAAAAPBu3Dta5vGH23nx9P58/fnD2Ww2V95z9QkAAAAAAACAtyB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B/sWfHAgAAAACD&#10;/K1Hsa80Ag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QJR0RgAAHCVJREFU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u8OdqKGwgCM3uqYsGClLJSlBHgB3/+xjHFTF4pWM520A18UOSchzJT2Tjssv/wt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mNgCAGRycy9tZWRpYS9pbWFn&#10;ZTUucG5nUEsBAhQAFAAAAAgAh07iQOBdh7CVAAAAkAAAABQAAAAAAAAAAQAgAAAA0dcCAGRycy9t&#10;ZWRpYS9pbWFnZTYucG5nUEsBAhQAFAAAAAgAh07iQKPm/Eh9AAAAeAAAABQAAAAAAAAAAQAgAAAA&#10;ItcCAGRycy9tZWRpYS9pbWFnZTcucG5nUEsBAhQAFAAAAAgAh07iQOJe82WBAAAAfAAAABQAAAAA&#10;AAAAAQAgAAAAYBU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2"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4"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127</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5</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5</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78E95A08">
      <w:pPr>
        <w:spacing w:before="3360" w:beforeLines="1400" w:line="293" w:lineRule="auto"/>
        <w:ind w:right="2342"/>
        <w:jc w:val="both"/>
        <w:rPr>
          <w:rFonts w:ascii="Times New Roman" w:hAnsi="Times New Roman" w:eastAsia="宋体"/>
          <w:b/>
          <w:sz w:val="28"/>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880" w:right="940" w:bottom="280" w:left="900" w:header="720" w:footer="720" w:gutter="0"/>
          <w:pgNumType w:fmt="decimal"/>
          <w:cols w:space="720" w:num="1"/>
        </w:sectPr>
      </w:pPr>
    </w:p>
    <w:sdt>
      <w:sdtPr>
        <w:rPr>
          <w:rFonts w:ascii="宋体" w:hAnsi="宋体" w:eastAsia="宋体" w:cs="Impact"/>
          <w:sz w:val="21"/>
          <w:szCs w:val="22"/>
          <w:lang w:val="en-US" w:eastAsia="en-US" w:bidi="ar-SA"/>
        </w:rPr>
        <w:id w:val="147475828"/>
        <w15:color w:val="DBDBDB"/>
        <w:docPartObj>
          <w:docPartGallery w:val="Table of Contents"/>
          <w:docPartUnique/>
        </w:docPartObj>
      </w:sdtPr>
      <w:sdtEndPr>
        <w:rPr>
          <w:rFonts w:hint="default" w:ascii="Impact" w:hAnsi="Impact" w:eastAsia="Impact" w:cs="Impact"/>
          <w:sz w:val="22"/>
          <w:szCs w:val="22"/>
          <w:lang w:val="en-US" w:eastAsia="zh-CN" w:bidi="ar-SA"/>
        </w:rPr>
      </w:sdtEndPr>
      <w:sdtContent>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5C45936B">
          <w:pPr>
            <w:pStyle w:val="12"/>
            <w:tabs>
              <w:tab w:val="right" w:leader="dot" w:pos="8294"/>
              <w:tab w:val="clear" w:pos="8284"/>
            </w:tabs>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TOC \o "1-3" \h \u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_Toc11434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国内特别关注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_Toc11434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FDD51BD">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_Toc22487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国家知识产权局发布《国家知识产权局关于纵深推进专利转化运用专项行动加快形成长效机制的通知》</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_Toc22487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71044D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_Toc23895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国家知识产权强国建设工作部际联席会议办公室发布《2025年知识产权强国建设推进计划》</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_Toc23895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8E875CA">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_Toc25778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国外特别关注</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_Toc25778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7</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3E558C15">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_Toc16442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欧洲专利局发布标准和欧洲专利制度报告</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_Toc16442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BF7B653">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_Toc27972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美国版权局发布《版权与人工智能》系列报告第三部分</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_Toc27972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54BF917">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_Toc10740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_Toc10740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12</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D1E126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_Toc24684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中国专利交易中的绝对权类型法定</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_Toc24684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65B4A0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_Toc3995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论标准必要专利纠纷反禁诉令的适用</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_Toc3995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034AEA4">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_Toc441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t xml:space="preserve"> 智能时代的知识产权制度和理论发展</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_Toc441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1AA22EB">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_Toc1550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t xml:space="preserve"> 未来产业创新生态培育的知识产权制度因应</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_Toc1550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E6382B4">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_Toc7153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t xml:space="preserve"> 论Bolar例外在非人用药领域的扩张</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_Toc7153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14</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C25B6D9">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_Toc6359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中文管理类核心期刊知识产权文章摘编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_Toc6359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16</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01130062">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_Toc12517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 标准定则市场兴——技术标准对专利交易的促进作用研究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_Toc12517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7A0AEF4">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_Toc7465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 知识产权保护战略对智能创新集聚的影响研究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_Toc7465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F81372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_Toc22786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 考虑不同权力结构的供应链知识产权质押融资决策研究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_Toc22786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3BFE746">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_Toc2490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 专利代理服务如何提升企业专利质量？——来自中国上市公司的证据</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_Toc2490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5ED2BFE">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_Toc22582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 知识产权国际保护对企业创新绩效的影响研究</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_Toc22582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18</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F4D4597">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_Toc25228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zh-CN" w:eastAsia="zh-CN" w:bidi="ar-SA"/>
            </w:rPr>
            <w:t>外文法学类核心期刊知识产权文章摘编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_Toc25228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20</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71F2CBC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_Toc23323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Fractional versus Full-Work Licensing: The Case of Performance Rights Organizations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_Toc23323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6DC52A99">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_Toc32740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w:t>
          </w:r>
          <w:r>
            <w:rPr>
              <w:rStyle w:val="19"/>
              <w:rFonts w:hint="default" w:ascii="Times New Roman" w:hAnsi="Times New Roman" w:eastAsia="楷体" w:cs="Times New Roman"/>
              <w:bCs/>
              <w:lang w:val="en-US" w:eastAsia="zh-CN"/>
            </w:rPr>
            <w:t xml:space="preserve">. Intellectual Property Law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s Labor Policy</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_Toc32740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20</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CC9D6A7">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_Toc9883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3</w:t>
          </w:r>
          <w:r>
            <w:rPr>
              <w:rStyle w:val="19"/>
              <w:rFonts w:hint="default" w:ascii="Times New Roman" w:hAnsi="Times New Roman" w:eastAsia="楷体" w:cs="Times New Roman"/>
              <w:bCs/>
              <w:lang w:val="en-US" w:eastAsia="zh-CN"/>
            </w:rPr>
            <w:t xml:space="preserve">. Fair Use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f Trademarks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 Chinese Law: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 Daunting Defence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o Trademark Infringement</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_Toc9883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21</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DEDC9C9">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_Toc29174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4</w:t>
          </w:r>
          <w:r>
            <w:rPr>
              <w:rStyle w:val="19"/>
              <w:rFonts w:hint="default" w:ascii="Times New Roman" w:hAnsi="Times New Roman" w:eastAsia="楷体" w:cs="Times New Roman"/>
              <w:bCs/>
              <w:lang w:val="en-US" w:eastAsia="zh-CN"/>
            </w:rPr>
            <w:t>. Does Pharma Need Patents?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_Toc29174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22</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7216CA8">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_Toc5460 </w:instrText>
          </w:r>
          <w:r>
            <w:rPr>
              <w:rStyle w:val="19"/>
              <w:rFonts w:hint="default"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5</w:t>
          </w:r>
          <w:r>
            <w:rPr>
              <w:rStyle w:val="19"/>
              <w:rFonts w:hint="default" w:ascii="Times New Roman" w:hAnsi="Times New Roman" w:eastAsia="楷体" w:cs="Times New Roman"/>
              <w:bCs/>
              <w:lang w:val="en-US" w:eastAsia="zh-CN"/>
            </w:rPr>
            <w:t xml:space="preserve">. Comparative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nalysis of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 xml:space="preserve">rademark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rotection in the </w:t>
          </w:r>
          <w:r>
            <w:rPr>
              <w:rStyle w:val="19"/>
              <w:rFonts w:hint="eastAsia" w:ascii="Times New Roman" w:hAnsi="Times New Roman" w:eastAsia="楷体" w:cs="Times New Roman"/>
              <w:bCs/>
              <w:lang w:val="en-US" w:eastAsia="zh-CN"/>
            </w:rPr>
            <w:t>M</w:t>
          </w:r>
          <w:r>
            <w:rPr>
              <w:rStyle w:val="19"/>
              <w:rFonts w:hint="default" w:ascii="Times New Roman" w:hAnsi="Times New Roman" w:eastAsia="楷体" w:cs="Times New Roman"/>
              <w:bCs/>
              <w:lang w:val="en-US" w:eastAsia="zh-CN"/>
            </w:rPr>
            <w:t xml:space="preserve">etaverse and </w:t>
          </w:r>
          <w:r>
            <w:rPr>
              <w:rStyle w:val="19"/>
              <w:rFonts w:hint="eastAsia" w:ascii="Times New Roman" w:hAnsi="Times New Roman" w:eastAsia="楷体" w:cs="Times New Roman"/>
              <w:bCs/>
              <w:lang w:val="en-US" w:eastAsia="zh-CN"/>
            </w:rPr>
            <w:t>R</w:t>
          </w:r>
          <w:r>
            <w:rPr>
              <w:rStyle w:val="19"/>
              <w:rFonts w:hint="default" w:ascii="Times New Roman" w:hAnsi="Times New Roman" w:eastAsia="楷体" w:cs="Times New Roman"/>
              <w:bCs/>
              <w:lang w:val="en-US" w:eastAsia="zh-CN"/>
            </w:rPr>
            <w:t xml:space="preserve">egistration of </w:t>
          </w:r>
          <w:r>
            <w:rPr>
              <w:rStyle w:val="19"/>
              <w:rFonts w:hint="eastAsia" w:ascii="Times New Roman" w:hAnsi="Times New Roman" w:eastAsia="楷体" w:cs="Times New Roman"/>
              <w:bCs/>
              <w:lang w:val="en-US" w:eastAsia="zh-CN"/>
            </w:rPr>
            <w:t>V</w:t>
          </w:r>
          <w:r>
            <w:rPr>
              <w:rStyle w:val="19"/>
              <w:rFonts w:hint="default" w:ascii="Times New Roman" w:hAnsi="Times New Roman" w:eastAsia="楷体" w:cs="Times New Roman"/>
              <w:bCs/>
              <w:lang w:val="en-US" w:eastAsia="zh-CN"/>
            </w:rPr>
            <w:t xml:space="preserve">irtual </w:t>
          </w:r>
          <w:r>
            <w:rPr>
              <w:rStyle w:val="19"/>
              <w:rFonts w:hint="eastAsia" w:ascii="Times New Roman" w:hAnsi="Times New Roman" w:eastAsia="楷体" w:cs="Times New Roman"/>
              <w:bCs/>
              <w:lang w:val="en-US" w:eastAsia="zh-CN"/>
            </w:rPr>
            <w:t>G</w:t>
          </w:r>
          <w:r>
            <w:rPr>
              <w:rStyle w:val="19"/>
              <w:rFonts w:hint="default" w:ascii="Times New Roman" w:hAnsi="Times New Roman" w:eastAsia="楷体" w:cs="Times New Roman"/>
              <w:bCs/>
              <w:lang w:val="en-US" w:eastAsia="zh-CN"/>
            </w:rPr>
            <w:t>oods and NFTs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_Toc5460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23</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5FFED51B">
          <w:pPr>
            <w:pStyle w:val="12"/>
            <w:tabs>
              <w:tab w:val="right" w:leader="dot" w:pos="8294"/>
              <w:tab w:val="clear" w:pos="8284"/>
            </w:tabs>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_Toc3868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外文管理类核心期刊知识产权文章摘编</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_Toc3868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25</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0BF2CB65">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_Toc22925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1. Trade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ecrets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rotection and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mployment of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ublic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irms: Evidence from the Uniform Trade Secrets Act</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_Toc22925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36782357">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_Toc26765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2. How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oes R&amp;D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ollaboration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hape the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Q</w:t>
          </w:r>
          <w:r>
            <w:rPr>
              <w:rStyle w:val="19"/>
              <w:rFonts w:hint="default" w:ascii="Times New Roman" w:hAnsi="Times New Roman" w:eastAsia="楷体" w:cs="Times New Roman"/>
              <w:bCs/>
              <w:lang w:val="en-US" w:eastAsia="zh-CN"/>
            </w:rPr>
            <w:t xml:space="preserve">uality of </w:t>
          </w:r>
          <w:r>
            <w:rPr>
              <w:rStyle w:val="19"/>
              <w:rFonts w:hint="eastAsia" w:ascii="Times New Roman" w:hAnsi="Times New Roman" w:eastAsia="楷体" w:cs="Times New Roman"/>
              <w:bCs/>
              <w:lang w:val="en-US" w:eastAsia="zh-CN"/>
            </w:rPr>
            <w:t>U</w:t>
          </w:r>
          <w:r>
            <w:rPr>
              <w:rStyle w:val="19"/>
              <w:rFonts w:hint="default" w:ascii="Times New Roman" w:hAnsi="Times New Roman" w:eastAsia="楷体" w:cs="Times New Roman"/>
              <w:bCs/>
              <w:lang w:val="en-US" w:eastAsia="zh-CN"/>
            </w:rPr>
            <w:t>niversities?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_Toc26765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25</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0328372E">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_Toc28549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3. Patent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itations and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cquisition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remiums: A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creening</w:t>
          </w:r>
          <w:r>
            <w:rPr>
              <w:rStyle w:val="19"/>
              <w:rFonts w:hint="eastAsia" w:ascii="Times New Roman" w:hAnsi="Times New Roman" w:eastAsia="楷体" w:cs="Times New Roman"/>
              <w:bCs/>
              <w:lang w:val="en-US" w:eastAsia="zh-CN"/>
            </w:rPr>
            <w:t xml:space="preserve"> P</w:t>
          </w:r>
          <w:r>
            <w:rPr>
              <w:rStyle w:val="19"/>
              <w:rFonts w:hint="default" w:ascii="Times New Roman" w:hAnsi="Times New Roman" w:eastAsia="楷体" w:cs="Times New Roman"/>
              <w:bCs/>
              <w:lang w:val="en-US" w:eastAsia="zh-CN"/>
            </w:rPr>
            <w:t>erspective</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_Toc28549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26</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15925D5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_Toc487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 Essentiality Checks for Standard Essential Patents</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_Toc487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71B3EC6A">
          <w:pPr>
            <w:pStyle w:val="13"/>
            <w:keepNext w:val="0"/>
            <w:keepLines w:val="0"/>
            <w:pageBreakBefore w:val="0"/>
            <w:kinsoku/>
            <w:wordWrap/>
            <w:overflowPunct/>
            <w:topLinePunct w:val="0"/>
            <w:bidi w:val="0"/>
            <w:adjustRightInd/>
            <w:snapToGrid/>
            <w:spacing w:after="0" w:line="312" w:lineRule="auto"/>
            <w:textAlignment w:val="auto"/>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_Toc19280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 xml:space="preserve">5. Dynamic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nalysis of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V</w:t>
          </w:r>
          <w:r>
            <w:rPr>
              <w:rStyle w:val="19"/>
              <w:rFonts w:hint="default" w:ascii="Times New Roman" w:hAnsi="Times New Roman" w:eastAsia="楷体" w:cs="Times New Roman"/>
              <w:bCs/>
              <w:lang w:val="en-US" w:eastAsia="zh-CN"/>
            </w:rPr>
            <w:t xml:space="preserve">alue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volution: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tudy on the </w:t>
          </w:r>
          <w:r>
            <w:rPr>
              <w:rStyle w:val="19"/>
              <w:rFonts w:hint="eastAsia" w:ascii="Times New Roman" w:hAnsi="Times New Roman" w:eastAsia="楷体" w:cs="Times New Roman"/>
              <w:bCs/>
              <w:lang w:val="en-US" w:eastAsia="zh-CN"/>
            </w:rPr>
            <w:t>R</w:t>
          </w:r>
          <w:r>
            <w:rPr>
              <w:rStyle w:val="19"/>
              <w:rFonts w:hint="default" w:ascii="Times New Roman" w:hAnsi="Times New Roman" w:eastAsia="楷体" w:cs="Times New Roman"/>
              <w:bCs/>
              <w:lang w:val="en-US" w:eastAsia="zh-CN"/>
            </w:rPr>
            <w:t xml:space="preserve">oles of </w:t>
          </w:r>
          <w:r>
            <w:rPr>
              <w:rStyle w:val="19"/>
              <w:rFonts w:hint="eastAsia" w:ascii="Times New Roman" w:hAnsi="Times New Roman" w:eastAsia="楷体" w:cs="Times New Roman"/>
              <w:bCs/>
              <w:lang w:val="en-US" w:eastAsia="zh-CN"/>
            </w:rPr>
            <w:t>N</w:t>
          </w:r>
          <w:r>
            <w:rPr>
              <w:rStyle w:val="19"/>
              <w:rFonts w:hint="default" w:ascii="Times New Roman" w:hAnsi="Times New Roman" w:eastAsia="楷体" w:cs="Times New Roman"/>
              <w:bCs/>
              <w:lang w:val="en-US" w:eastAsia="zh-CN"/>
            </w:rPr>
            <w:t xml:space="preserve">ovelty and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mpact</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_Toc19280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27</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2E187373">
          <w:pPr>
            <w:pStyle w:val="12"/>
            <w:tabs>
              <w:tab w:val="right" w:leader="dot" w:pos="8294"/>
              <w:tab w:val="clear" w:pos="8284"/>
            </w:tabs>
            <w:rPr>
              <w:rFonts w:hint="eastAsia" w:ascii="Times New Roman" w:hAnsi="Times New Roman" w:cs="Times New Roman" w:eastAsiaTheme="minorEastAsia"/>
              <w:b/>
              <w:color w:val="auto"/>
              <w:sz w:val="28"/>
              <w:szCs w:val="28"/>
              <w:lang w:val="zh-CN" w:eastAsia="zh-CN" w:bidi="ar-SA"/>
            </w:rPr>
          </w:pP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HYPERLINK \l _Toc18967 </w:instrText>
          </w:r>
          <w:r>
            <w:rPr>
              <w:rFonts w:hint="default"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南湖学人成果速递</w:t>
          </w:r>
          <w:r>
            <w:rPr>
              <w:rFonts w:hint="eastAsia" w:ascii="Times New Roman" w:hAnsi="Times New Roman" w:cs="Times New Roman" w:eastAsiaTheme="minorEastAsia"/>
              <w:b/>
              <w:color w:val="auto"/>
              <w:sz w:val="28"/>
              <w:szCs w:val="28"/>
              <w:lang w:val="zh-CN" w:eastAsia="zh-CN" w:bidi="ar-SA"/>
            </w:rPr>
            <w:tab/>
          </w:r>
          <w:r>
            <w:rPr>
              <w:rFonts w:hint="eastAsia" w:ascii="Times New Roman" w:hAnsi="Times New Roman" w:cs="Times New Roman" w:eastAsiaTheme="minorEastAsia"/>
              <w:b/>
              <w:color w:val="auto"/>
              <w:sz w:val="28"/>
              <w:szCs w:val="28"/>
              <w:lang w:val="zh-CN" w:eastAsia="zh-CN" w:bidi="ar-SA"/>
            </w:rPr>
            <w:fldChar w:fldCharType="begin"/>
          </w:r>
          <w:r>
            <w:rPr>
              <w:rFonts w:hint="eastAsia" w:ascii="Times New Roman" w:hAnsi="Times New Roman" w:cs="Times New Roman" w:eastAsiaTheme="minorEastAsia"/>
              <w:b/>
              <w:color w:val="auto"/>
              <w:sz w:val="28"/>
              <w:szCs w:val="28"/>
              <w:lang w:val="zh-CN" w:eastAsia="zh-CN" w:bidi="ar-SA"/>
            </w:rPr>
            <w:instrText xml:space="preserve"> PAGEREF _Toc18967 \h </w:instrText>
          </w:r>
          <w:r>
            <w:rPr>
              <w:rFonts w:hint="eastAsia" w:ascii="Times New Roman" w:hAnsi="Times New Roman" w:cs="Times New Roman" w:eastAsiaTheme="minorEastAsia"/>
              <w:b/>
              <w:color w:val="auto"/>
              <w:sz w:val="28"/>
              <w:szCs w:val="28"/>
              <w:lang w:val="zh-CN" w:eastAsia="zh-CN" w:bidi="ar-SA"/>
            </w:rPr>
            <w:fldChar w:fldCharType="separate"/>
          </w:r>
          <w:r>
            <w:rPr>
              <w:rFonts w:hint="eastAsia" w:ascii="Times New Roman" w:hAnsi="Times New Roman" w:cs="Times New Roman" w:eastAsiaTheme="minorEastAsia"/>
              <w:b/>
              <w:color w:val="auto"/>
              <w:sz w:val="28"/>
              <w:szCs w:val="28"/>
              <w:lang w:val="zh-CN" w:eastAsia="zh-CN" w:bidi="ar-SA"/>
            </w:rPr>
            <w:t>29</w:t>
          </w:r>
          <w:r>
            <w:rPr>
              <w:rFonts w:hint="eastAsia" w:ascii="Times New Roman" w:hAnsi="Times New Roman" w:cs="Times New Roman" w:eastAsiaTheme="minorEastAsia"/>
              <w:b/>
              <w:color w:val="auto"/>
              <w:sz w:val="28"/>
              <w:szCs w:val="28"/>
              <w:lang w:val="zh-CN" w:eastAsia="zh-CN" w:bidi="ar-SA"/>
            </w:rPr>
            <w:fldChar w:fldCharType="end"/>
          </w:r>
          <w:r>
            <w:rPr>
              <w:rFonts w:hint="default" w:ascii="Times New Roman" w:hAnsi="Times New Roman" w:cs="Times New Roman" w:eastAsiaTheme="minorEastAsia"/>
              <w:b/>
              <w:color w:val="auto"/>
              <w:sz w:val="28"/>
              <w:szCs w:val="28"/>
              <w:lang w:val="en-US" w:eastAsia="zh-CN" w:bidi="ar-SA"/>
            </w:rPr>
            <w:fldChar w:fldCharType="end"/>
          </w:r>
        </w:p>
        <w:p w14:paraId="19D0DAF1">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HYPERLINK \l _Toc26285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 知识产权投资公共政策目标的竞争张力与制度约束——由知识产权安全机制泛化展开</w:t>
          </w:r>
          <w:r>
            <w:rPr>
              <w:rStyle w:val="19"/>
              <w:rFonts w:hint="eastAsia" w:ascii="Times New Roman" w:hAnsi="Times New Roman" w:eastAsia="楷体" w:cs="Times New Roman"/>
              <w:bCs/>
              <w:lang w:val="en-US" w:eastAsia="zh-CN"/>
            </w:rPr>
            <w:tab/>
          </w:r>
          <w:r>
            <w:rPr>
              <w:rStyle w:val="19"/>
              <w:rFonts w:hint="eastAsia" w:ascii="Times New Roman" w:hAnsi="Times New Roman" w:eastAsia="楷体" w:cs="Times New Roman"/>
              <w:bCs/>
              <w:lang w:val="en-US" w:eastAsia="zh-CN"/>
            </w:rPr>
            <w:fldChar w:fldCharType="begin"/>
          </w:r>
          <w:r>
            <w:rPr>
              <w:rStyle w:val="19"/>
              <w:rFonts w:hint="eastAsia" w:ascii="Times New Roman" w:hAnsi="Times New Roman" w:eastAsia="楷体" w:cs="Times New Roman"/>
              <w:bCs/>
              <w:lang w:val="en-US" w:eastAsia="zh-CN"/>
            </w:rPr>
            <w:instrText xml:space="preserve"> PAGEREF _Toc26285 \h </w:instrText>
          </w:r>
          <w:r>
            <w:rPr>
              <w:rStyle w:val="19"/>
              <w:rFonts w:hint="eastAsia" w:ascii="Times New Roman" w:hAnsi="Times New Roman" w:eastAsia="楷体" w:cs="Times New Roman"/>
              <w:bCs/>
              <w:lang w:val="en-US" w:eastAsia="zh-CN"/>
            </w:rPr>
            <w:fldChar w:fldCharType="separate"/>
          </w:r>
          <w:r>
            <w:rPr>
              <w:rStyle w:val="19"/>
              <w:rFonts w:hint="eastAsia" w:ascii="Times New Roman" w:hAnsi="Times New Roman" w:eastAsia="楷体" w:cs="Times New Roman"/>
              <w:bCs/>
              <w:lang w:val="en-US" w:eastAsia="zh-CN"/>
            </w:rPr>
            <w:t>29</w:t>
          </w:r>
          <w:r>
            <w:rPr>
              <w:rStyle w:val="19"/>
              <w:rFonts w:hint="eastAsia" w:ascii="Times New Roman" w:hAnsi="Times New Roman" w:eastAsia="楷体" w:cs="Times New Roman"/>
              <w:bCs/>
              <w:lang w:val="en-US" w:eastAsia="zh-CN"/>
            </w:rPr>
            <w:fldChar w:fldCharType="end"/>
          </w:r>
          <w:r>
            <w:rPr>
              <w:rStyle w:val="19"/>
              <w:rFonts w:hint="default" w:ascii="Times New Roman" w:hAnsi="Times New Roman" w:eastAsia="楷体" w:cs="Times New Roman"/>
              <w:bCs/>
              <w:lang w:val="en-US" w:eastAsia="zh-CN"/>
            </w:rPr>
            <w:fldChar w:fldCharType="end"/>
          </w:r>
        </w:p>
        <w:p w14:paraId="42B3D8C1">
          <w:pPr>
            <w:tabs>
              <w:tab w:val="left" w:pos="7633"/>
            </w:tabs>
            <w:bidi w:val="0"/>
            <w:jc w:val="left"/>
            <w:outlineLvl w:val="1"/>
            <w:rPr>
              <w:rFonts w:hint="default" w:ascii="Impact" w:hAnsi="Impact" w:eastAsia="Impact" w:cs="Impact"/>
              <w:sz w:val="22"/>
              <w:szCs w:val="22"/>
              <w:lang w:val="en-US" w:eastAsia="zh-CN" w:bidi="ar-SA"/>
            </w:rPr>
          </w:pPr>
          <w:r>
            <w:rPr>
              <w:rFonts w:hint="default"/>
              <w:lang w:val="en-US" w:eastAsia="zh-CN"/>
            </w:rPr>
            <w:fldChar w:fldCharType="end"/>
          </w:r>
        </w:p>
      </w:sdtContent>
    </w:sdt>
    <w:p w14:paraId="40FF5ADC">
      <w:pPr>
        <w:tabs>
          <w:tab w:val="left" w:pos="7633"/>
        </w:tabs>
        <w:bidi w:val="0"/>
        <w:jc w:val="left"/>
        <w:outlineLvl w:val="1"/>
        <w:rPr>
          <w:rFonts w:hint="default" w:ascii="Impact" w:hAnsi="Impact" w:eastAsia="Impact" w:cs="Impact"/>
          <w:sz w:val="22"/>
          <w:szCs w:val="22"/>
          <w:lang w:val="en-US" w:eastAsia="zh-CN" w:bidi="ar-SA"/>
        </w:rPr>
        <w:sectPr>
          <w:footerReference r:id="rId10" w:type="default"/>
          <w:headerReference r:id="rId9" w:type="even"/>
          <w:footerReference r:id="rId11" w:type="even"/>
          <w:pgSz w:w="11900" w:h="16840"/>
          <w:pgMar w:top="1440" w:right="1803" w:bottom="1440" w:left="1803" w:header="720" w:footer="720" w:gutter="0"/>
          <w:pgNumType w:fmt="decimal"/>
          <w:cols w:space="720" w:num="1"/>
        </w:sectPr>
      </w:pPr>
    </w:p>
    <w:p w14:paraId="7B65C06C">
      <w:pPr>
        <w:pStyle w:val="2"/>
        <w:spacing w:before="300" w:line="360" w:lineRule="auto"/>
        <w:jc w:val="center"/>
      </w:pPr>
      <w:bookmarkStart w:id="0" w:name="_Toc17626"/>
      <w:bookmarkStart w:id="1" w:name="_Toc105607341"/>
      <w:bookmarkStart w:id="2" w:name="_Toc11434"/>
      <w:bookmarkStart w:id="3" w:name="_Toc13804"/>
      <w:bookmarkStart w:id="4" w:name="_Toc14318"/>
      <w:bookmarkStart w:id="5" w:name="_Toc27890"/>
      <w:bookmarkStart w:id="6" w:name="_国内特别关注"/>
      <w:bookmarkStart w:id="7" w:name="_Hlk97586462"/>
      <w:r>
        <w:rPr>
          <w:rFonts w:hint="eastAsia"/>
        </w:rPr>
        <w:t>国内特别关注</w:t>
      </w:r>
      <w:bookmarkEnd w:id="0"/>
      <w:bookmarkEnd w:id="1"/>
      <w:bookmarkEnd w:id="2"/>
      <w:bookmarkEnd w:id="3"/>
      <w:bookmarkEnd w:id="4"/>
      <w:bookmarkEnd w:id="5"/>
    </w:p>
    <w:bookmarkEnd w:id="6"/>
    <w:bookmarkEnd w:id="7"/>
    <w:p w14:paraId="422243A0">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eastAsia" w:ascii="Times New Roman" w:hAnsi="Times New Roman" w:eastAsia="楷体" w:cs="楷体"/>
          <w:color w:val="000000"/>
          <w:lang w:val="en-US" w:eastAsia="zh-CN"/>
        </w:rPr>
      </w:pPr>
      <w:bookmarkStart w:id="8" w:name="_Toc22487"/>
      <w:r>
        <w:rPr>
          <w:rFonts w:hint="eastAsia" w:ascii="方正小标宋_GBK" w:hAnsi="方正小标宋_GBK" w:eastAsia="方正小标宋_GBK" w:cs="方正小标宋_GBK"/>
          <w:bCs/>
          <w:kern w:val="2"/>
          <w:sz w:val="28"/>
          <w:szCs w:val="28"/>
          <w:lang w:val="en-US" w:eastAsia="zh-CN"/>
        </w:rPr>
        <w:t>国家知识产权局发布《国家知识产权局关于纵深推进专利转化运用专项行动加快形成长效机制的通知》</w:t>
      </w:r>
      <w:bookmarkEnd w:id="8"/>
      <w:bookmarkStart w:id="9" w:name="_Hlk101799435"/>
    </w:p>
    <w:p w14:paraId="4F9EB195">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2025年5月21日，国家知识产权局印发《国家知识产权局关于纵深推进专利转化运用专项行动加快形成长效机制的通知》（以下简称《通知》）。国家知识产权局对其作出如下解读：</w:t>
      </w:r>
    </w:p>
    <w:p w14:paraId="1FE5DF06">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一、《通知》制定出台的背景</w:t>
      </w:r>
    </w:p>
    <w:p w14:paraId="4DAF26D1">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党中央、国务院高度重视专利转化运用工作。自2023年10月，国务院办公厅印发实施《专利转化运用专项行动方案（2023—2025年）》以来，国家知识产权局联合有关部门、各地方认真贯彻落实党中央、国务院决策部署，充分发挥专项行动推进机制作用，聚力攻坚、破解难点，体系化组织实施《高校和科研机构存量专利盘活工作方案》《专利产业化促进中小企业成长计划实施方案》《关于推进重点产业知识产权强链增效的若干措施》等配套政策举措。</w:t>
      </w:r>
    </w:p>
    <w:p w14:paraId="257092C6">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经过一年多的努力，全社会专利转化意识日益增强，“唯数量”的观念得到有效扭转，专利转化运用生态初步形成，专项行动各项任务取得显著成效。一是历史上首次完成全国高校和科研机构存量专利盘点。指导全国2700多家高校和科研机构完成了134.9万件存量专利的盘点，组织45万多家创新型企业进行专利价值评价，筛选68万件发明专利进入可转化资源库。二是以专利产业化促进中小企业成长的路径日益清晰。筛选9000余家高成长性中小企业进行重点培育，提供专利审查、保护维权、运营服务等专项支持，着力打造以专利产业化为成长路径的样板企业，2024年专利对接活动达成投融资意向金额200多亿元。三是重点产业知识产权强链增效日益显著。制定出台产业知识产权运营中心建设管理工作指引，支持重点产业领域探索开展专利池建设。2024年认定专利密集型产品3100余件，产品产值9400亿元，全国专利密集型产业增加值占GDP比重达13.04%。</w:t>
      </w:r>
    </w:p>
    <w:p w14:paraId="25861F7A">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2025年是专利转化运用三年行动的最后一年，也是决战决胜之年。为高质量完成专项行动任务目标，亟需对2025年转化运用工作进行再动员、再部署。一是对标三年行动总体要求和工作目标，聚焦存量专利盘活、中小企业成长和产业强链增效等重点任务，纵深推进专利转化运用专项行动；二是从创造、运用、保护、管理、服务等不同环节、不同场景持续挖掘先进典型，总结可复制推广的转化模式，固化有效经验；三是探索构建专利转化运用生态，形成主要以市场化机制推动专利转化运用的长效机制。为此，在充分调研和广泛征求意见的基础上，研究制定了《通知》，于近日正式印发。</w:t>
      </w:r>
    </w:p>
    <w:p w14:paraId="7C6634A4">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二、《通知》的主线和总体思路</w:t>
      </w:r>
    </w:p>
    <w:p w14:paraId="4B99B7B2">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通知》重申并强调了专项行动的工作主线，即“推动一批高价值专利实现产业化”，以“锚定目标、突出重点、优化政策、固化经验、长效机制”为工作总体思路，强调供给端、需求端、政策端、服务端多方联动、同向发力，进一步下大力气推动专利转化运用工作完成预期目标，取得新的成效，按照市场规律，探索构建顺畅高效的专利转化运用生态。</w:t>
      </w:r>
    </w:p>
    <w:p w14:paraId="3D38F3B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锚定目标”，是指锚定“1+4”目标，其中“1”是主目标，指的是扎实推进新一批高价值专利实现产业化。“4”是4个分项目标，分别是实现高校和科研机构专利实施率和专利产业化率明显提高，一大批主攻硬科技、掌握好专利的科技型中小企业实现专利产业化内涵式成长，重点产业知识产权强链增效、加快提升竞争优势，加快培育推广一批新的专利密集型产品。</w:t>
      </w:r>
    </w:p>
    <w:p w14:paraId="556215A1">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突出重点”，是指在“推动新一批高价值专利实现产业化”过程中，首先，要突出高校和科研机构存量专利“盘活”这一重点和中心工作，特别是对可转化资源库中供需双方认可度高的专利加快推进产业化；其次，加快打造一批专利产业化促进中小企业成长的样板企业，总结成功做法，推广复制成功路径和经验；其三，一体化推进产业知识产权创新联合体、产业知识产权运营中心、重点产业专利池建设，促进产业知识产权强链增效；最后，要全力推动专利密集型产品量质齐升，促进专利市场价值在产品端充分显现。</w:t>
      </w:r>
    </w:p>
    <w:p w14:paraId="7A743040">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优化政策”，是指在持续加大推进专利产业化力度的同时，坚持从源头治理、政策导向上持续发力，全面梳理盘点涉及专利的各类政策，加快推动高校和科研机构健全完善相关管理制度，丰富完善产业化导向的激励政策、废止“唯数量”等不利于转化的政策，牢固树立提升专利质量、促进专利产业化的政策导向。</w:t>
      </w:r>
    </w:p>
    <w:p w14:paraId="20813BED">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固化经验”，是指在纵深开展专利转化工作实践的过程中，要对专项行动中的有效做法、成功模式进行系统总结，形成可复制可推广的典型经验做法，并通过政策指引、操作指南、典型案例等方式，及时予以宣传推广。</w:t>
      </w:r>
    </w:p>
    <w:p w14:paraId="3628F129">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长效机制”，一方面是指要尽快形成促进专利转化运用的长期性制度、常态化模式和有效的激励机制；另一方面是按照政府引导、企业主导、多方协同、服务联动的原则，加快构建开放协同、运行高效的专利转化运用生态，形成推进专利转化运用的常态化、持续化、市场化长效机制。</w:t>
      </w:r>
    </w:p>
    <w:p w14:paraId="139007F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三、《通知》的主要任务</w:t>
      </w:r>
    </w:p>
    <w:p w14:paraId="39952A95">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《通知》从推动专利盘活、提升竞争优势、强化政策导向、形成长效机制四个方面，部署了四项重点任务和十五条具体措施，明确工作主体、压实工作责任，推动专项行动纵深实施，确保年底前取得预期成效。</w:t>
      </w:r>
    </w:p>
    <w:p w14:paraId="4E76A5D8">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一项任务是“高质量推进高校和科研机构存量专利盘活工作”。盘活存量专利是专项行动的首要任务，是今年专项行动的重中之重。《通知》提出三方面要求，一是从供需两端发力深入推进专利转化对接活动。在线上，各地既要引导供给端做好数据分析和供需对接，还要指导各类知识产权服务机构、运营中心、龙头企业等，做好需求侧的挖掘，实现供给、需求的有效匹配；在线下，各地要做好部门协同，利用好各类对接平台，有组织、有计划地开展转化对接活动。二是重点推进校企双方评价一致的高价值专利快速转化。各地要重点支持供需双方均认可的产业化前景好的专利，优先转化，并匹配各类政策、资金、平台等资源，提高实施效率和成功率。三是探索利用人工智能促进专利转化运用。各地要充分运用人工智能大模型工具，开展细分领域存量专利大模型运用试点，构建丰富多样的对接渠道和应用场景，实现供需双方精准匹配，提高转化运用效率。</w:t>
      </w:r>
    </w:p>
    <w:p w14:paraId="2EE6DF44">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二项任务是“以专利产业化助力提升中小企业和重点产业竞争优势”。聚焦专项行动提出的打造专利产业化样板企业、促进产业强链增效、培育专利密集型产品等三项重点任务，《通知》提出三个方面要求，一是加快培育一批专利产业化样板企业。各地要加大对样板企业培育库入库企业的政策、资金扶持力度， 推动入库企业通过实现专利产业化规模效益显著提升、培育形成一批专利密集型产品、成为“小巨人”或者单项冠军，或者加快上市融资进程等，达到样板企业培育标准，实现快速成长目标。二是加快产业知识产权协同发展机制建设。各地要根据国家知识产权局的相关部署，统筹做好产业知识产权创新联合体、产业知识产权运营中心和重点产业专利池建设工作，不断增强产业链的韧性和竞争力。三是有力推动专利密集型产品量质齐升。各地要强化政策引导，进一步抓好专利密集型产品备案工作，培育更多专利密集型产品，引导更多企业围绕硬科技打造好产品，创出好品牌。</w:t>
      </w:r>
    </w:p>
    <w:p w14:paraId="56504443">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三项任务是“强化提升专利质量促进专利产业化的政策导向”。进一步强化专利产业化激励政策的协同联动，是持续盘活专利存量、做优专利增量的关键。《通知》提出三方面要求，一是梳理盘点涉及专利的各类相关政策，各地要按照考核、评价、资助三种类型，完成各级政府相关政策梳理和调整工作，存在困难的及时上报反馈；二是推动高校和科研机构健全完善相关管理制度，完成对内部专利管理制度和涉及专利指标的相关考核规定的自查和调整，并不断加强对申请前评估制度建设及专利转化成效的跟踪监督，上述工作的开展将作为示范高校认定考核的关键指标；三是全面推进实施专利代理服务采购政策，各地要积极引导企事业单位施行采购政策，树立“优质优价”导向，倡导行业良性竞争，以高质量的代理服务支撑专利高质量创造和高效益转化。</w:t>
      </w:r>
    </w:p>
    <w:p w14:paraId="2950814F">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第四项任务是“加快形成促进专利转化运用的长效机制”。以制度化的方式，将专项行动中涌现出的有效做法，转化为长期有效运行的专利产业化模式，是持续推动专利转化运用的根本要求。《通知》由此提出五方面要求，一是健全完善专利分级分类动态管理机制，各地要指导高校和科研机构加强专利的分级分类管理，对于有产业化前景的新增专利及时盘点入库，对于未进入可转化资源库的存量专利，建立内部评估和处置机制。二是积极推广“先使用后付费”“开放许可”等转化模式，引导高校和科研机构拓展转化方式和渠道，提升专利转化的内在动力。三是推动建立健全有利于专利转化的激励机制，各地要在职务科技成果赋权和资产单列管理等改革工作中积极作为，引导建设专业化运营机构，进一步加速高校和科研机构的专利实施和专利产业化工作。四是加快构建开放协同、运行高效的专利转化运用生态，要以市场需求为导向，通过政策引导、人才驱动、资金催化、机制保障和环境支撑，链接企业、高校、科研机构、中介服务组织等多元主体，形成技术研发、评估筛选、资本对接、概念验证、小试中试、商业孵化和市场推广的闭环体系，形成相容互促、多元共生的专利转化运用生态系统，加速专利技术价值释放，最终实现创新链、产业链与资本链的有机衔接、深度融合。五是夯实各级各类知识产权服务支撑基础，形成公共服务与市场服务联动互补的叠加效应，各地不仅要在公共服务端发力，提供政策咨询、检索分析、业务指导、能力培训等普惠性公共服务，强化公共服务机构对专利转化工作的支撑，还要在市场服务端发力，健全完善专利转化运用市场化服务链条，拓展专利代理机构服务领域，不断增加优质人才和服务的供给，为提升专利转化运用效能提供坚实支撑。</w:t>
      </w:r>
    </w:p>
    <w:p w14:paraId="6FCEF2AD">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150" w:after="0" w:afterLines="150" w:line="360" w:lineRule="auto"/>
        <w:ind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四、工作协同和保障支撑</w:t>
      </w:r>
    </w:p>
    <w:p w14:paraId="64F74990">
      <w:pPr>
        <w:keepNext w:val="0"/>
        <w:keepLines w:val="0"/>
        <w:pageBreakBefore w:val="0"/>
        <w:widowControl w:val="0"/>
        <w:tabs>
          <w:tab w:val="center" w:pos="4147"/>
        </w:tabs>
        <w:kinsoku/>
        <w:wordWrap/>
        <w:overflowPunct/>
        <w:topLinePunct w:val="0"/>
        <w:autoSpaceDE/>
        <w:autoSpaceDN/>
        <w:bidi w:val="0"/>
        <w:adjustRightInd/>
        <w:snapToGrid/>
        <w:spacing w:before="300" w:after="300" w:line="360" w:lineRule="auto"/>
        <w:ind w:firstLine="440" w:firstLineChars="200"/>
        <w:jc w:val="both"/>
        <w:textAlignment w:val="auto"/>
        <w:rPr>
          <w:rFonts w:hint="default"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为确保各项任务顺利实施，《通知》提出扎实做好专项行动实施保障的工作要求。一是当好转化运用的“组织者”，充分利用好地方专项行动推进机制，加强政策协调、工作协同和业务联动,共同将各项任务落实落细。二是当好转化运用的“协调者”，有效发挥各级财政资金的引导作用，为各方参与专利转化工作提供基础保障。三是当好转化运用的“指导者”，持续加强数据统计监测分析，及时发现、研究、解决专利转化运用工作存在的问题。四是当好转化运用的“推动者”，充分利用知识产权强国建设平台，压实各级工作职责，适时对工作成效突出的单位和个人开展表扬。五是当好转化运用的“宣传者”，不断加大宣传引导力度，持续宣传推介成功案例和典型经验，营造有利于专利转化运用的良好氛围。</w:t>
      </w:r>
    </w:p>
    <w:p w14:paraId="4BF5BCE8">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（来源：https://www.cnipa.gov.cn/art/2025/5/30/art_66_199883.html</w:t>
      </w:r>
    </w:p>
    <w:p w14:paraId="1CFC36C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楷体"/>
          <w:color w:val="0070C0"/>
          <w:sz w:val="21"/>
          <w:szCs w:val="21"/>
          <w:u w:val="none"/>
          <w:lang w:eastAsia="zh-CN"/>
        </w:rPr>
      </w:pPr>
      <w:r>
        <w:rPr>
          <w:rFonts w:hint="eastAsia" w:ascii="Times New Roman" w:hAnsi="Times New Roman" w:eastAsia="楷体" w:cs="Times New Roman"/>
          <w:color w:val="0070C0"/>
          <w:sz w:val="21"/>
          <w:szCs w:val="21"/>
          <w:lang w:val="en-US" w:eastAsia="zh-CN"/>
        </w:rPr>
        <w:t>《国家知识产权局关于纵深推进专利转化运用专项行动加快形成长效机制的通知》全文：https://www.cnipa.gov.cn/art/2025/5/30/art_75_199889.html）</w:t>
      </w:r>
    </w:p>
    <w:bookmarkEnd w:id="9"/>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lang w:eastAsia="zh-CN"/>
        </w:rPr>
      </w:pPr>
      <w:r>
        <w:rPr>
          <w:rFonts w:hint="eastAsia" w:ascii="Times New Roman" w:hAnsi="Times New Roman" w:eastAsia="楷体" w:cs="楷体"/>
          <w:b/>
          <w:bCs/>
          <w:color w:val="000000"/>
          <w:sz w:val="28"/>
          <w:lang w:eastAsia="zh-CN"/>
        </w:rPr>
        <w:br w:type="page"/>
      </w:r>
    </w:p>
    <w:p w14:paraId="53354746">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default" w:ascii="Times New Roman" w:hAnsi="Times New Roman" w:eastAsia="楷体" w:cs="Times New Roman"/>
          <w:color w:val="000000"/>
          <w:lang w:val="en-US" w:eastAsia="zh-CN"/>
        </w:rPr>
      </w:pPr>
      <w:bookmarkStart w:id="10" w:name="_Toc23895"/>
      <w:r>
        <w:rPr>
          <w:rFonts w:hint="eastAsia" w:ascii="方正小标宋_GBK" w:hAnsi="方正小标宋_GBK" w:eastAsia="方正小标宋_GBK" w:cs="方正小标宋_GBK"/>
          <w:b w:val="0"/>
          <w:bCs/>
          <w:kern w:val="2"/>
          <w:sz w:val="28"/>
          <w:szCs w:val="28"/>
          <w:lang w:val="en-US" w:eastAsia="zh-CN"/>
        </w:rPr>
        <w:t>国家知识产权强国建设工作部际联席会议办公室发布        《2025年知识产权强国建设推进计划》</w:t>
      </w:r>
      <w:bookmarkEnd w:id="10"/>
    </w:p>
    <w:p w14:paraId="7F4BB0EC">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2025年5月7日，经国家知识产权强国建设工作部际联席会议同意，联席会议办公室印发《2025年知识产权强国建设推进计划》（以下简称《推进计划》），明确了七个方面118项重点任务。</w:t>
      </w:r>
    </w:p>
    <w:p w14:paraId="4399062D">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完善知识产权制度方面，《推进计划》提出完善知识产权法律法规规章、改革完善知识产权重大政策、完善新兴领域和特定领域知识产权规则，具体包括推进相关法律法规制修订，推动建立高效的知识产权综合管理体制，做好“十五五”知识产权规划编制工作，加快研究构建数据知识产权保护规则等措施。在强化知识产权保护方面，《推进计划》提出加强知识产权司法保护、强化知识产权行政保护、健全知识产权协同保护格局，具体包括完善并全面落实侵权惩罚性赔偿制度，深化知识产权检察综合履职，组织开展执法专项行动，强化两法衔接和跨区域、跨部门执法合作等措施。在完善知识产权市场运行机制方面，《推进计划》提出提高知识产权创造质量、加强知识产权转化运用、促进知识产权市场化运营，具体包括持续提升专利商标审查质量和效率，完善知识产权支撑关键核心技术攻关工作体系，深入实施专利转化运用专项行动，大力培育和发展专利密集型产业和版权产业，积极稳妥发展知识产权金融等措施。在提高知识产权服务效能方面，《推进计划》提出加强知识产权公共服务供给、促进知识产权服务业发展，具体包括深入实施知识产权公共服务普惠工程，全面加强知识产权代理行业监管等措施。</w:t>
      </w:r>
    </w:p>
    <w:p w14:paraId="0DDCDC85">
      <w:pPr>
        <w:keepNext w:val="0"/>
        <w:keepLines w:val="0"/>
        <w:pageBreakBefore w:val="0"/>
        <w:widowControl w:val="0"/>
        <w:kinsoku/>
        <w:wordWrap/>
        <w:overflowPunct/>
        <w:topLinePunct w:val="0"/>
        <w:autoSpaceDE w:val="0"/>
        <w:autoSpaceDN w:val="0"/>
        <w:bidi w:val="0"/>
        <w:adjustRightInd/>
        <w:snapToGrid/>
        <w:spacing w:before="0" w:beforeLines="150" w:after="0" w:afterLines="15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此外，《2025年知识产权强国建设推进计划》还就营造良好的知识产权人文社会环境、深度参与全球知识产权治理、加强组织保障等方面明确了具体措施。</w:t>
      </w:r>
    </w:p>
    <w:p w14:paraId="246A58D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w:t>
      </w:r>
      <w:r>
        <w:rPr>
          <w:rFonts w:hint="eastAsia" w:ascii="Times New Roman" w:hAnsi="Times New Roman" w:eastAsia="楷体" w:cs="Times New Roman"/>
          <w:color w:val="0070C0"/>
          <w:sz w:val="21"/>
          <w:szCs w:val="21"/>
          <w:lang w:val="en-US" w:eastAsia="zh-CN"/>
        </w:rPr>
        <w:fldChar w:fldCharType="begin"/>
      </w:r>
      <w:r>
        <w:rPr>
          <w:rFonts w:hint="eastAsia" w:ascii="Times New Roman" w:hAnsi="Times New Roman" w:eastAsia="楷体" w:cs="Times New Roman"/>
          <w:color w:val="0070C0"/>
          <w:sz w:val="21"/>
          <w:szCs w:val="21"/>
          <w:lang w:val="en-US" w:eastAsia="zh-CN"/>
        </w:rPr>
        <w:instrText xml:space="preserve"> HYPERLINK "https://www.cnipa.gov.cn/art/2024/12/31/art_66_196990.html" </w:instrText>
      </w:r>
      <w:r>
        <w:rPr>
          <w:rFonts w:hint="eastAsia" w:ascii="Times New Roman" w:hAnsi="Times New Roman" w:eastAsia="楷体" w:cs="Times New Roman"/>
          <w:color w:val="0070C0"/>
          <w:sz w:val="21"/>
          <w:szCs w:val="21"/>
          <w:lang w:val="en-US" w:eastAsia="zh-CN"/>
        </w:rPr>
        <w:fldChar w:fldCharType="separate"/>
      </w:r>
      <w:r>
        <w:rPr>
          <w:rFonts w:hint="eastAsia" w:ascii="Times New Roman" w:hAnsi="Times New Roman" w:eastAsia="楷体" w:cs="Times New Roman"/>
          <w:color w:val="0070C0"/>
          <w:sz w:val="21"/>
          <w:szCs w:val="21"/>
          <w:lang w:val="en-US" w:eastAsia="zh-CN"/>
        </w:rPr>
        <w:t>https://www.cnipa.gov.cn/art/2025/5/9/art_53_199558.html</w:t>
      </w:r>
    </w:p>
    <w:p w14:paraId="03EB4A1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fldChar w:fldCharType="end"/>
      </w:r>
      <w:r>
        <w:rPr>
          <w:rFonts w:hint="eastAsia" w:ascii="Times New Roman" w:hAnsi="Times New Roman" w:eastAsia="楷体" w:cs="Times New Roman"/>
          <w:color w:val="0070C0"/>
          <w:sz w:val="21"/>
          <w:szCs w:val="21"/>
          <w:lang w:val="en-US" w:eastAsia="zh-CN"/>
        </w:rPr>
        <w:t>《2025年知识产权强国建设推进计划》全文：https://www.cnipa.gov.cn/module/download/downfile.jsp?classid=0&amp;showname=2025%E5%B9%B4%E7%9F%A5%E8%AF%86%E4%BA%A7%E6%9D%83%E5%BC%BA%E5%9B%BD%E5%BB%BA%E8%AE%BE%E6%8E%A8%E8%BF%9B%E8%AE%A1%E5%88%92.pdf&amp;filename=505cfd4b42ba4b7c8a0dad7b9324b5a0.pdf）</w:t>
      </w:r>
    </w:p>
    <w:p w14:paraId="1A0A5779">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p w14:paraId="31C383C1">
      <w:pPr>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1" w:name="_Toc105607344"/>
      <w:r>
        <w:rPr>
          <w:rFonts w:hint="eastAsia"/>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2" w:name="_Toc32298"/>
      <w:bookmarkStart w:id="13" w:name="_Toc9523"/>
      <w:bookmarkStart w:id="14" w:name="_Toc5741"/>
      <w:bookmarkStart w:id="15" w:name="_Toc10990"/>
      <w:bookmarkStart w:id="16" w:name="_Toc25778"/>
      <w:r>
        <w:rPr>
          <w:rFonts w:hint="eastAsia"/>
        </w:rPr>
        <w:t>国外特别关注</w:t>
      </w:r>
      <w:bookmarkEnd w:id="11"/>
      <w:bookmarkEnd w:id="12"/>
      <w:bookmarkEnd w:id="13"/>
      <w:bookmarkEnd w:id="14"/>
      <w:bookmarkEnd w:id="15"/>
      <w:bookmarkEnd w:id="16"/>
    </w:p>
    <w:p w14:paraId="6D8753D9">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7" w:name="_Toc16442"/>
      <w:r>
        <w:rPr>
          <w:rFonts w:hint="default" w:ascii="Times New Roman" w:hAnsi="Times New Roman" w:eastAsia="方正小标宋_GBK" w:cs="Times New Roman"/>
          <w:bCs/>
          <w:kern w:val="2"/>
          <w:sz w:val="28"/>
          <w:szCs w:val="28"/>
          <w:lang w:val="en-US" w:eastAsia="zh-CN"/>
        </w:rPr>
        <w:t>欧洲专利局发布标准和欧洲专利制度报告</w:t>
      </w:r>
      <w:bookmarkEnd w:id="17"/>
    </w:p>
    <w:p w14:paraId="5B69D067">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2025年5月14日，欧洲专利局（EPO）发布《标准和欧洲专利制度》（Standards and the European Patent System）研究报告。这项研究引入了一个新的数据集，比以往任何时候都更清晰地揭示了标准文档如何在欧洲专利申请审查中被使用，以及由此产生的专利有多少最终被宣告为广泛采用的技术标准所必需的（标准必要专利，SEP）。报告显示随着专利体系在激励研发投资和技术知识交流方面持续发挥关键作用，引用标准制定组织（SDO）文件的专利比例正在上升，这凸显了专利对于受标准规范的技术发展的重要性。</w:t>
      </w:r>
    </w:p>
    <w:p w14:paraId="619D61FB">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eastAsia"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sz w:val="22"/>
          <w:szCs w:val="22"/>
          <w:lang w:val="en-US" w:eastAsia="zh-CN" w:bidi="ar-SA"/>
        </w:rPr>
        <w:t>1.</w:t>
      </w:r>
      <w:r>
        <w:rPr>
          <w:rFonts w:hint="eastAsia" w:ascii="Times New Roman" w:hAnsi="Times New Roman" w:eastAsia="楷体" w:cs="Times New Roman"/>
          <w:b/>
          <w:bCs/>
          <w:color w:val="000000"/>
          <w:lang w:val="en-US" w:eastAsia="zh-CN"/>
        </w:rPr>
        <w:t>EPO与SDO合作促进标准文档的广泛使用</w:t>
      </w:r>
    </w:p>
    <w:p w14:paraId="23C08594">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在标准制定过程中产生、披露的各类技术文件，以及标准制定组织（SDO）评估未来标准技术时使用的文档，均构成现有技术。欧洲专利局（EPO）通过创建全球最大的现有技术文献库（含550余万份SDO文件），为审查员评估发明新颖性、创造性及可专利性提供权威引用来源，此举既保障了专利审查质量，亦推动实现欧盟委员会提升专利与技术标准透明度的目标。</w:t>
      </w:r>
    </w:p>
    <w:p w14:paraId="469E99ED">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最新研究表明，在无线通信、媒体压缩等快速演进领域，近70%的EPO检索报告已引用SDO文件。该现象印证了相关标准文档获取效率的显著提升，这得益于EPO与SDO长达二十年的深度协作。</w:t>
      </w:r>
      <w:r>
        <w:rPr>
          <w:rFonts w:hint="default" w:ascii="Times New Roman" w:hAnsi="Times New Roman" w:eastAsia="楷体" w:cs="Times New Roman"/>
          <w:color w:val="000000"/>
          <w:lang w:val="en-US" w:eastAsia="zh-CN"/>
        </w:rPr>
        <w:t>公开可用数据集进一步增强透明度</w:t>
      </w:r>
    </w:p>
    <w:p w14:paraId="3C4C37C1">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2.公开可用数据集进一步增强透明度</w:t>
      </w:r>
    </w:p>
    <w:p w14:paraId="43718548">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本研究构建的新数据集基于逾19万份专利申请分析显示：近17万份不同的SDO文件被引用达41.8万次。该数据集开放免费访问，显著提升透明度，助力利益相关者厘清创新生态中专利与标准的关联逻辑。值得注意的是，在已声明的标准必要专利（SEP）中，37%引用了至少一份SDO文件。这一高比例表明，该数据集为预测专利标准必要性（essentiality）提供了关键依据。</w:t>
      </w:r>
    </w:p>
    <w:p w14:paraId="577C1F29">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b/>
          <w:bCs/>
          <w:color w:val="000000"/>
          <w:lang w:val="en-US" w:eastAsia="zh-CN"/>
        </w:rPr>
        <w:t>3.</w:t>
      </w:r>
      <w:r>
        <w:rPr>
          <w:rFonts w:hint="default" w:ascii="Times New Roman" w:hAnsi="Times New Roman" w:eastAsia="楷体" w:cs="Times New Roman"/>
          <w:b/>
          <w:bCs/>
          <w:color w:val="000000"/>
          <w:lang w:val="en-US" w:eastAsia="zh-CN"/>
        </w:rPr>
        <w:t>统一专利法院（UPC）——SEP争端解决的新时代</w:t>
      </w:r>
    </w:p>
    <w:p w14:paraId="7175109B">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本研究</w:t>
      </w:r>
      <w:r>
        <w:rPr>
          <w:rFonts w:hint="eastAsia" w:ascii="Times New Roman" w:hAnsi="Times New Roman" w:eastAsia="楷体" w:cs="Times New Roman"/>
          <w:color w:val="000000"/>
          <w:lang w:val="en-US" w:eastAsia="zh-CN"/>
        </w:rPr>
        <w:t>中</w:t>
      </w:r>
      <w:r>
        <w:rPr>
          <w:rFonts w:hint="default" w:ascii="Times New Roman" w:hAnsi="Times New Roman" w:eastAsia="楷体" w:cs="Times New Roman"/>
          <w:color w:val="000000"/>
          <w:lang w:val="en-US" w:eastAsia="zh-CN"/>
        </w:rPr>
        <w:t>欧洲专利局（EPO）对统一专利法院（UPC）已结案件的最新分析，表明UPC正快速崛起为标准必要专利（SEP）所有者和实施者的首选争议解决平台。长期以来，欧洲SEP纠纷因分散在多个司法辖区导致平行诉讼频发，耗时耗资巨大。而UPC在成立仅19个月内即审结23宗SEP案件，占同期欧洲已裁决SEP纠纷总量的三分之一以上——充分彰显其效率优势与日增影响力。这一转变有效规避了平行诉讼风险，显著提升法律确定性。</w:t>
      </w:r>
    </w:p>
    <w:p w14:paraId="222597E6">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更值关注的是，定于2025年底启用的UPC专利调解与仲裁中心（PMAC）将创设全球首个专门解决SEP争议的替代性纠纷解决（ADR）平台。其《仲裁、调解与专家裁决规则》更将嵌入针对SEP纠纷的特别程序框架，实现制度性突破。</w:t>
      </w:r>
    </w:p>
    <w:p w14:paraId="03C294BD">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4.塑造日常生活：SEP在现代技术中的作用</w:t>
      </w:r>
    </w:p>
    <w:p w14:paraId="581949DC">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从高速5G连接、智能家居设备到高清视频流传输，技术标准构成了现代数字生活的基石。为满足市场需求，标准必须整合尖端技术——这些技术往往受标准必要专利（SEP）保护。诸如5G、Wi-Fi及音视频编解码器等核心标准，正是由SEP支撑起数百万设备间的安全高效通信。若缺乏SEP保护的关键技术，整个数字网络将陷入瘫痪。在此技术图景下，SEP将持续成为保障通信可靠性、安全性与互操作性的核心要素。</w:t>
      </w:r>
    </w:p>
    <w:p w14:paraId="54564928">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5.SEP：欧洲经济的战略支柱</w:t>
      </w:r>
    </w:p>
    <w:p w14:paraId="6D55142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标准必要专利（SEP）不仅是技术创新的基石，更是驱动经济增长与产业竞争力的核心引擎。欧盟委员会数据显示，超85%的移动通信标准依赖SEP支撑。据Orbis 2022年统计，全球约47,500家制造企业实际应用基于FRAND（公平、合理、无歧视）许可条款的标准，其中欧盟企业达3,800家（占全球8%），创造220万个就业岗位，总营业额突破6000亿欧元——仅88家头部企业的研发投入即高达260亿欧元。</w:t>
      </w:r>
    </w:p>
    <w:p w14:paraId="6E0F3E8F">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为深化透明度建设与公众参与，欧洲专利局（EPO）携手法国工业产权局（INPI）即将发起高端对话平台，汇聚法官、法律从业者、政府及产业界代表共商SEP治理框架。</w:t>
      </w:r>
    </w:p>
    <w:p w14:paraId="0C8EFEE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u w:val="none"/>
          <w:lang w:eastAsia="zh-CN"/>
        </w:rPr>
      </w:pPr>
      <w:r>
        <w:rPr>
          <w:rFonts w:hint="default" w:ascii="Times New Roman" w:hAnsi="Times New Roman" w:eastAsia="楷体" w:cs="Times New Roman"/>
          <w:color w:val="0070C0"/>
          <w:sz w:val="21"/>
          <w:szCs w:val="21"/>
          <w:lang w:eastAsia="zh-CN"/>
        </w:rPr>
        <w:t>（来源：</w:t>
      </w:r>
      <w:r>
        <w:rPr>
          <w:rFonts w:hint="default" w:ascii="Times New Roman" w:hAnsi="Times New Roman" w:eastAsia="楷体" w:cs="Times New Roman"/>
          <w:color w:val="0070C0"/>
          <w:sz w:val="21"/>
          <w:szCs w:val="21"/>
          <w:u w:val="none"/>
          <w:lang w:eastAsia="zh-CN"/>
        </w:rPr>
        <w:t>https://www.epo.org/en/news-events/news/technology-standards-and-patents-europes-digital-future</w:t>
      </w:r>
    </w:p>
    <w:p w14:paraId="4BA1FAD6">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val="en-US" w:eastAsia="zh-CN"/>
        </w:rPr>
        <w:t>报告全文：https://link.epo.org/web/publications/studies/en-epo-study-standards-and-the-european-patent-system.pdf</w:t>
      </w:r>
      <w:r>
        <w:rPr>
          <w:rFonts w:hint="eastAsia" w:ascii="Times New Roman" w:hAnsi="Times New Roman" w:eastAsia="楷体" w:cs="Times New Roman"/>
          <w:color w:val="0070C0"/>
          <w:sz w:val="21"/>
          <w:szCs w:val="21"/>
          <w:lang w:eastAsia="zh-CN"/>
        </w:rPr>
        <w:t>）</w:t>
      </w:r>
      <w:r>
        <w:rPr>
          <w:rFonts w:hint="default" w:ascii="Times New Roman" w:hAnsi="Times New Roman" w:eastAsia="楷体" w:cs="Times New Roman"/>
          <w:lang w:eastAsia="zh-CN"/>
        </w:rPr>
        <w:br w:type="page"/>
      </w:r>
    </w:p>
    <w:p w14:paraId="0F8967E8">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18" w:name="_Toc27972"/>
      <w:r>
        <w:rPr>
          <w:rFonts w:hint="eastAsia" w:ascii="Times New Roman" w:hAnsi="Times New Roman" w:eastAsia="方正小标宋_GBK" w:cs="Times New Roman"/>
          <w:bCs/>
          <w:kern w:val="2"/>
          <w:sz w:val="28"/>
          <w:szCs w:val="28"/>
          <w:lang w:val="en-US" w:eastAsia="zh-CN"/>
        </w:rPr>
        <w:t>美国版权局发布《版权与人工智能》系列报告第三部分</w:t>
      </w:r>
      <w:bookmarkEnd w:id="18"/>
    </w:p>
    <w:p w14:paraId="68AE10C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2025年</w:t>
      </w:r>
      <w:r>
        <w:rPr>
          <w:rFonts w:hint="eastAsia" w:ascii="Times New Roman" w:hAnsi="Times New Roman" w:eastAsia="楷体" w:cs="Times New Roman"/>
          <w:color w:val="000000"/>
          <w:lang w:val="en-US" w:eastAsia="zh-CN"/>
        </w:rPr>
        <w:t>5月9日，</w:t>
      </w:r>
      <w:r>
        <w:rPr>
          <w:rFonts w:hint="default" w:ascii="Times New Roman" w:hAnsi="Times New Roman" w:eastAsia="楷体" w:cs="Times New Roman"/>
          <w:color w:val="000000"/>
          <w:lang w:val="en-US" w:eastAsia="zh-CN"/>
        </w:rPr>
        <w:t>美国版权局（USCO）发布《版权与人工智能》系列报告第三部分（预发布版），首次就生成式AI训练中的版权争议提出系统性框架。报告指出，AI开发者使用受版权保护的作品训练模型可能构成侵权，但可通过“合理使用”原则免责，而这一认定的核心取决于AI输出的目的、内容保护措施及数据来源合法性。</w:t>
      </w:r>
    </w:p>
    <w:p w14:paraId="6F8F1716">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1.</w:t>
      </w:r>
      <w:r>
        <w:rPr>
          <w:rFonts w:hint="default" w:ascii="Times New Roman" w:hAnsi="Times New Roman" w:eastAsia="楷体" w:cs="Times New Roman"/>
          <w:b/>
          <w:bCs/>
          <w:color w:val="000000"/>
          <w:lang w:val="en-US" w:eastAsia="zh-CN"/>
        </w:rPr>
        <w:t>核心结论：合理使用认定需满足严格条件</w:t>
      </w:r>
    </w:p>
    <w:p w14:paraId="4278295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（1）转换性是关键，但非绝对豁免理由</w:t>
      </w:r>
    </w:p>
    <w:p w14:paraId="40DEF25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基础模型训练（如语言翻译、内容审核）通常具有“转换性”，因其产出功能不同于原作品用途。例外情况：若AI被训练并部署用于生成与原作竞争的内容（如模仿特定艺术家风格作画），或通过RAG技术输出文章摘要替代原作，则难以主张转换性</w:t>
      </w:r>
      <w:r>
        <w:rPr>
          <w:rFonts w:hint="eastAsia" w:ascii="Times New Roman" w:hAnsi="Times New Roman" w:eastAsia="楷体" w:cs="Times New Roman"/>
          <w:color w:val="000000"/>
          <w:lang w:val="en-US" w:eastAsia="zh-CN"/>
        </w:rPr>
        <w:t>。</w:t>
      </w:r>
      <w:r>
        <w:rPr>
          <w:rFonts w:hint="default" w:ascii="Times New Roman" w:hAnsi="Times New Roman" w:eastAsia="楷体" w:cs="Times New Roman"/>
          <w:color w:val="000000"/>
          <w:lang w:val="en-US" w:eastAsia="zh-CN"/>
        </w:rPr>
        <w:t>版权局明确驳斥“AI学习等同人类学习”的类比，强调AI复制规模远超人类且缺乏个体创造性过滤，此论点不适用合理使用。</w:t>
      </w:r>
    </w:p>
    <w:p w14:paraId="377B3523">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（2）</w:t>
      </w:r>
      <w:r>
        <w:rPr>
          <w:rFonts w:hint="default" w:ascii="Times New Roman" w:hAnsi="Times New Roman" w:eastAsia="楷体" w:cs="Times New Roman"/>
          <w:color w:val="000000"/>
          <w:lang w:val="en-US" w:eastAsia="zh-CN"/>
        </w:rPr>
        <w:t>盗版数据与规避付费墙将削弱合理使用</w:t>
      </w:r>
    </w:p>
    <w:p w14:paraId="5D775B3B">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使用盗版资源（如影子图书馆）或绕过付费墙获取训练数据，将被视为“恶意行为”，显著降低合理使用成立概率。报告引用多起诉讼指出，包括Meta、Stability AI在内的公司训练数据涉嫌包含非法来源内容。</w:t>
      </w:r>
    </w:p>
    <w:p w14:paraId="38B1D1DC">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（3）</w:t>
      </w:r>
      <w:r>
        <w:rPr>
          <w:rFonts w:hint="default" w:ascii="Times New Roman" w:hAnsi="Times New Roman" w:eastAsia="楷体" w:cs="Times New Roman"/>
          <w:color w:val="000000"/>
          <w:lang w:val="en-US" w:eastAsia="zh-CN"/>
        </w:rPr>
        <w:t>防护措施成免责关键因素</w:t>
      </w:r>
    </w:p>
    <w:p w14:paraId="23AEF6DA">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开发者必须通过技术手段（如输入过滤、对齐训练）限制模型输出受保护内容。若用户能轻易生成近似原作的内容（如逐字复现歌词或绘画风格），合理使用主张将失效。</w:t>
      </w:r>
      <w:r>
        <w:rPr>
          <w:rFonts w:hint="eastAsia" w:ascii="Times New Roman" w:hAnsi="Times New Roman" w:eastAsia="楷体" w:cs="Times New Roman"/>
          <w:color w:val="000000"/>
          <w:lang w:val="en-US" w:eastAsia="zh-CN"/>
        </w:rPr>
        <w:t>例如，</w:t>
      </w:r>
      <w:r>
        <w:rPr>
          <w:rFonts w:hint="default" w:ascii="Times New Roman" w:hAnsi="Times New Roman" w:eastAsia="楷体" w:cs="Times New Roman"/>
          <w:color w:val="000000"/>
          <w:lang w:val="en-US" w:eastAsia="zh-CN"/>
        </w:rPr>
        <w:t>谷歌图书仅显示片段（非全文）的防护设计曾被法院支持，但当前AI输出控制尚未达到同等标准。</w:t>
      </w:r>
    </w:p>
    <w:p w14:paraId="0A6CAADE">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2.</w:t>
      </w:r>
      <w:r>
        <w:rPr>
          <w:rFonts w:hint="default" w:ascii="Times New Roman" w:hAnsi="Times New Roman" w:eastAsia="楷体" w:cs="Times New Roman"/>
          <w:b/>
          <w:bCs/>
          <w:color w:val="000000"/>
          <w:lang w:val="en-US" w:eastAsia="zh-CN"/>
        </w:rPr>
        <w:t>侵权风险环节：从数据收集到模型输出</w:t>
      </w:r>
    </w:p>
    <w:p w14:paraId="7A2B1662">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报告明确AI开发全流程中可能侵权的行为：</w:t>
      </w:r>
    </w:p>
    <w:p w14:paraId="386D7ED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（1）</w:t>
      </w:r>
      <w:r>
        <w:rPr>
          <w:rFonts w:hint="default" w:ascii="Times New Roman" w:hAnsi="Times New Roman" w:eastAsia="楷体" w:cs="Times New Roman"/>
          <w:color w:val="000000"/>
          <w:lang w:val="en-US" w:eastAsia="zh-CN"/>
        </w:rPr>
        <w:t>数据收集与整理：下载、存储、清洗受版权作品（如网络爬取）构成复制权侵权。</w:t>
      </w:r>
    </w:p>
    <w:p w14:paraId="55B50861">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（2）</w:t>
      </w:r>
      <w:r>
        <w:rPr>
          <w:rFonts w:hint="default" w:ascii="Times New Roman" w:hAnsi="Times New Roman" w:eastAsia="楷体" w:cs="Times New Roman"/>
          <w:color w:val="000000"/>
          <w:lang w:val="en-US" w:eastAsia="zh-CN"/>
        </w:rPr>
        <w:t>训练过程：将作品输入模型时制作的临时复制件，以及模型权重若“记忆”作品（如生成逐字输出），均可能侵权。</w:t>
      </w:r>
    </w:p>
    <w:p w14:paraId="0992DC8C">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（3）</w:t>
      </w:r>
      <w:r>
        <w:rPr>
          <w:rFonts w:hint="default" w:ascii="Times New Roman" w:hAnsi="Times New Roman" w:eastAsia="楷体" w:cs="Times New Roman"/>
          <w:color w:val="000000"/>
          <w:lang w:val="en-US" w:eastAsia="zh-CN"/>
        </w:rPr>
        <w:t>RAG技术：实时检索并复制外部版权内容以增强回答，涉嫌侵权。</w:t>
      </w:r>
    </w:p>
    <w:p w14:paraId="1687339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（4）</w:t>
      </w:r>
      <w:r>
        <w:rPr>
          <w:rFonts w:hint="default" w:ascii="Times New Roman" w:hAnsi="Times New Roman" w:eastAsia="楷体" w:cs="Times New Roman"/>
          <w:color w:val="000000"/>
          <w:lang w:val="en-US" w:eastAsia="zh-CN"/>
        </w:rPr>
        <w:t>模型输出：生成相似原作的内容（如新闻摘要、迪士尼角色）直接侵害复制权与衍生作品权。</w:t>
      </w:r>
    </w:p>
    <w:p w14:paraId="28CDBB40">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3.</w:t>
      </w:r>
      <w:r>
        <w:rPr>
          <w:rFonts w:hint="default" w:ascii="Times New Roman" w:hAnsi="Times New Roman" w:eastAsia="楷体" w:cs="Times New Roman"/>
          <w:b/>
          <w:bCs/>
          <w:color w:val="000000"/>
          <w:lang w:val="en-US" w:eastAsia="zh-CN"/>
        </w:rPr>
        <w:t>行业争议：技术革新VS创作者生存</w:t>
      </w:r>
    </w:p>
    <w:p w14:paraId="3CA1E10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（1）</w:t>
      </w:r>
      <w:r>
        <w:rPr>
          <w:rFonts w:hint="default" w:ascii="Times New Roman" w:hAnsi="Times New Roman" w:eastAsia="楷体" w:cs="Times New Roman"/>
          <w:color w:val="000000"/>
          <w:lang w:val="en-US" w:eastAsia="zh-CN"/>
        </w:rPr>
        <w:t>版权方诉求（如美国作家协会、唱片业协会）</w:t>
      </w:r>
    </w:p>
    <w:p w14:paraId="254167FF">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“AI公司用我们的作品训练模型，再生成内容与我们竞争，这是对创作生态的致命打击。若合理使用被滥用，职业创作者将消失。”</w:t>
      </w:r>
      <w:r>
        <w:rPr>
          <w:rFonts w:hint="eastAsia" w:ascii="Times New Roman" w:hAnsi="Times New Roman" w:eastAsia="楷体" w:cs="Times New Roman"/>
          <w:color w:val="000000"/>
          <w:lang w:val="en-US" w:eastAsia="zh-CN"/>
        </w:rPr>
        <w:t>据</w:t>
      </w:r>
      <w:r>
        <w:rPr>
          <w:rFonts w:hint="default" w:ascii="Times New Roman" w:hAnsi="Times New Roman" w:eastAsia="楷体" w:cs="Times New Roman"/>
          <w:color w:val="000000"/>
          <w:lang w:val="en-US" w:eastAsia="zh-CN"/>
        </w:rPr>
        <w:t>报告统计，超90%创作者反对未经许可的训练，认为其剥夺了新兴的“数据许可市场”。</w:t>
      </w:r>
    </w:p>
    <w:p w14:paraId="2E229CDC">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（2）</w:t>
      </w:r>
      <w:r>
        <w:rPr>
          <w:rFonts w:hint="default" w:ascii="Times New Roman" w:hAnsi="Times New Roman" w:eastAsia="楷体" w:cs="Times New Roman"/>
          <w:color w:val="000000"/>
          <w:lang w:val="en-US" w:eastAsia="zh-CN"/>
        </w:rPr>
        <w:t>科技公司反驳（如Meta、谷歌）</w:t>
      </w:r>
    </w:p>
    <w:p w14:paraId="62A6FE19">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“强制许可将扼杀创新，使美国丧失AI领导地位。训练是分析语言统计规律，非复制表达。”</w:t>
      </w:r>
      <w:r>
        <w:rPr>
          <w:rFonts w:hint="eastAsia" w:ascii="Times New Roman" w:hAnsi="Times New Roman" w:eastAsia="楷体" w:cs="Times New Roman"/>
          <w:color w:val="000000"/>
          <w:lang w:val="en-US" w:eastAsia="zh-CN"/>
        </w:rPr>
        <w:t>此外，</w:t>
      </w:r>
      <w:r>
        <w:rPr>
          <w:rFonts w:hint="default" w:ascii="Times New Roman" w:hAnsi="Times New Roman" w:eastAsia="楷体" w:cs="Times New Roman"/>
          <w:color w:val="000000"/>
          <w:lang w:val="en-US" w:eastAsia="zh-CN"/>
        </w:rPr>
        <w:t>开源模型社区强调，当前技术无法完全避免“记忆”，但属非意图的罕见缺陷。</w:t>
      </w:r>
    </w:p>
    <w:p w14:paraId="0C9CFAC0">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4.</w:t>
      </w:r>
      <w:r>
        <w:rPr>
          <w:rFonts w:hint="default" w:ascii="Times New Roman" w:hAnsi="Times New Roman" w:eastAsia="楷体" w:cs="Times New Roman"/>
          <w:b/>
          <w:bCs/>
          <w:color w:val="000000"/>
          <w:lang w:val="en-US" w:eastAsia="zh-CN"/>
        </w:rPr>
        <w:t>解决方案：自愿许可可行，法定机制待探索</w:t>
      </w:r>
    </w:p>
    <w:p w14:paraId="39247612">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自愿许可制度面临以下问题：</w:t>
      </w:r>
      <w:r>
        <w:rPr>
          <w:rFonts w:hint="default" w:ascii="Times New Roman" w:hAnsi="Times New Roman" w:eastAsia="楷体" w:cs="Times New Roman"/>
          <w:color w:val="000000"/>
          <w:lang w:val="en-US" w:eastAsia="zh-CN"/>
        </w:rPr>
        <w:t>海量作品许可成本高、效率低，但专业领域（如医学、法律）及高质量数据授权市场正在形成。</w:t>
      </w:r>
      <w:r>
        <w:rPr>
          <w:rFonts w:hint="eastAsia" w:ascii="Times New Roman" w:hAnsi="Times New Roman" w:eastAsia="楷体" w:cs="Times New Roman"/>
          <w:color w:val="000000"/>
          <w:lang w:val="en-US" w:eastAsia="zh-CN"/>
        </w:rPr>
        <w:t>同时，</w:t>
      </w:r>
      <w:r>
        <w:rPr>
          <w:rFonts w:hint="default" w:ascii="Times New Roman" w:hAnsi="Times New Roman" w:eastAsia="楷体" w:cs="Times New Roman"/>
          <w:color w:val="000000"/>
          <w:lang w:val="en-US" w:eastAsia="zh-CN"/>
        </w:rPr>
        <w:t>报告评估了“强制许可”“延展性集体管理”等方案，但指出需国会立法推动，且可能引发国际协调问题。</w:t>
      </w:r>
    </w:p>
    <w:p w14:paraId="191E4AC6">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eastAsia" w:ascii="Times New Roman" w:hAnsi="Times New Roman" w:eastAsia="楷体" w:cs="Times New Roman"/>
          <w:b/>
          <w:bCs/>
          <w:color w:val="000000"/>
          <w:lang w:val="en-US" w:eastAsia="zh-CN"/>
        </w:rPr>
        <w:t>5.</w:t>
      </w:r>
      <w:r>
        <w:rPr>
          <w:rFonts w:hint="default" w:ascii="Times New Roman" w:hAnsi="Times New Roman" w:eastAsia="楷体" w:cs="Times New Roman"/>
          <w:b/>
          <w:bCs/>
          <w:color w:val="000000"/>
          <w:lang w:val="en-US" w:eastAsia="zh-CN"/>
        </w:rPr>
        <w:t>下一步影响</w:t>
      </w:r>
    </w:p>
    <w:p w14:paraId="4914FDE5">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此报告为法院审理当前逾50起AI版权诉讼（如《纽约时报》诉微软/OpenAI、音乐出版商诉Anthropic）提供关键法理参考。最终版将于数月内发布，版权局强调将根据技术演进调整结论。</w:t>
      </w:r>
    </w:p>
    <w:p w14:paraId="3CA033A0">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firstLine="420" w:firstLineChars="200"/>
        <w:jc w:val="both"/>
        <w:textAlignment w:val="auto"/>
        <w:rPr>
          <w:rFonts w:hint="eastAsia"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报告全文：https://www.copyright.gov/ai/Copyright-and-Artificial-Intelligence-Part-3-Generative-AI-Training-Report-Pre-Publication-Version.pdf</w:t>
      </w:r>
      <w:r>
        <w:rPr>
          <w:rFonts w:hint="eastAsia" w:ascii="Times New Roman" w:hAnsi="Times New Roman" w:eastAsia="楷体" w:cs="Times New Roman"/>
          <w:color w:val="0070C0"/>
          <w:sz w:val="21"/>
          <w:szCs w:val="21"/>
          <w:lang w:eastAsia="zh-CN"/>
        </w:rPr>
        <w:t>）</w:t>
      </w:r>
    </w:p>
    <w:p w14:paraId="2E3F2784">
      <w:pPr>
        <w:snapToGrid w:val="0"/>
        <w:spacing w:before="120" w:after="120" w:line="240" w:lineRule="auto"/>
        <w:ind w:firstLine="0" w:firstLineChars="0"/>
        <w:jc w:val="both"/>
        <w:rPr>
          <w:rFonts w:hint="default" w:ascii="Times New Roman" w:hAnsi="Times New Roman" w:eastAsia="楷体" w:cs="楷体"/>
          <w:color w:val="0070C0"/>
          <w:sz w:val="21"/>
          <w:szCs w:val="21"/>
          <w:lang w:eastAsia="zh-CN"/>
        </w:rPr>
      </w:pPr>
      <w:r>
        <w:rPr>
          <w:rFonts w:hint="default" w:ascii="Times New Roman" w:hAnsi="Times New Roman" w:eastAsia="楷体" w:cs="Times New Roman"/>
          <w:lang w:eastAsia="zh-CN"/>
        </w:rPr>
        <w:br w:type="page"/>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19" w:name="_Toc105607347"/>
      <w:bookmarkStart w:id="20" w:name="_Toc2551"/>
      <w:bookmarkStart w:id="21" w:name="_Toc10740"/>
      <w:bookmarkStart w:id="22" w:name="_Toc4535"/>
      <w:bookmarkStart w:id="23" w:name="_Toc19686"/>
      <w:bookmarkStart w:id="24" w:name="_Toc26939"/>
      <w:bookmarkStart w:id="25" w:name="_Hlk97586846"/>
      <w:bookmarkStart w:id="26" w:name="_Toc69834922"/>
      <w:bookmarkStart w:id="27" w:name="_Toc54392292"/>
      <w:r>
        <w:t>中文法学类核心期刊知识产权文章摘编</w:t>
      </w:r>
      <w:bookmarkEnd w:id="19"/>
      <w:bookmarkEnd w:id="20"/>
      <w:bookmarkEnd w:id="21"/>
      <w:bookmarkEnd w:id="22"/>
      <w:bookmarkEnd w:id="23"/>
      <w:bookmarkEnd w:id="24"/>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lang w:eastAsia="zh-CN"/>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5</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）法学类核心期刊</w:t>
      </w:r>
      <w:bookmarkEnd w:id="25"/>
    </w:p>
    <w:p w14:paraId="49B5105F">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28" w:name="_Toc19188"/>
      <w:bookmarkStart w:id="29" w:name="_Toc9345"/>
      <w:bookmarkStart w:id="30" w:name="_Toc21654"/>
      <w:bookmarkStart w:id="31" w:name="_Toc7695"/>
      <w:bookmarkStart w:id="32" w:name="_Toc4119"/>
      <w:bookmarkStart w:id="33" w:name="_Toc21324"/>
      <w:bookmarkStart w:id="34" w:name="_Toc24684"/>
      <w:r>
        <w:rPr>
          <w:rFonts w:hint="eastAsia" w:ascii="Times New Roman" w:hAnsi="Times New Roman" w:eastAsia="方正小标宋简体" w:cs="方正小标宋简体"/>
          <w:bCs/>
          <w:color w:val="000000"/>
          <w:kern w:val="2"/>
          <w:sz w:val="28"/>
          <w:szCs w:val="28"/>
          <w:lang w:val="en-US" w:eastAsia="zh-CN"/>
        </w:rPr>
        <w:t xml:space="preserve">1. </w:t>
      </w:r>
      <w:bookmarkEnd w:id="28"/>
      <w:bookmarkEnd w:id="29"/>
      <w:bookmarkEnd w:id="30"/>
      <w:bookmarkEnd w:id="31"/>
      <w:bookmarkEnd w:id="32"/>
      <w:bookmarkEnd w:id="33"/>
      <w:r>
        <w:rPr>
          <w:rFonts w:hint="eastAsia" w:ascii="Times New Roman" w:hAnsi="Times New Roman" w:eastAsia="方正小标宋简体" w:cs="方正小标宋简体"/>
          <w:bCs/>
          <w:color w:val="000000"/>
          <w:kern w:val="2"/>
          <w:sz w:val="28"/>
          <w:szCs w:val="28"/>
          <w:lang w:val="en-US" w:eastAsia="zh-CN"/>
        </w:rPr>
        <w:t>中国专利交易中的绝对权类型法定</w:t>
      </w:r>
      <w:bookmarkEnd w:id="34"/>
    </w:p>
    <w:p w14:paraId="1182503C">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张轶</w:t>
      </w:r>
    </w:p>
    <w:p w14:paraId="54D50278">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深圳大学法学院</w:t>
      </w:r>
    </w:p>
    <w:p w14:paraId="4DB9E45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我国学术界对专利交易中的绝对权类型法定问题关注较少。尽管专利法无法适用物权类型法定原则，但专利领域内绝对权类型不可随意设定。专利领域绝对权的类型化分析显示，其意定受到明显限制。在专利许可中，绝对权意定引发的悖论揭示，诸多法律条款难以支撑许可的对世效力，亦无法作为绝对权类型意定的法律依据。即使遵循意思自治原则，专利交易特殊性显示，缺少绝对权类型法定会导致交易成本上升、交易安全受损、第三方行动空间受限。</w:t>
      </w:r>
    </w:p>
    <w:p w14:paraId="1F51E8E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ab/>
      </w:r>
      <w:r>
        <w:rPr>
          <w:rFonts w:hint="eastAsia" w:ascii="Times New Roman" w:hAnsi="Times New Roman" w:eastAsia="楷体" w:cs="楷体"/>
          <w:b w:val="0"/>
          <w:bCs/>
          <w:color w:val="000000"/>
          <w:szCs w:val="21"/>
          <w:shd w:val="clear" w:color="auto" w:fill="FFFFFF"/>
          <w:lang w:val="en-US" w:eastAsia="zh-CN"/>
        </w:rPr>
        <w:t>无体物；物权类型法定；绝对权类型法定；专利部分转让；专利许可</w:t>
      </w:r>
    </w:p>
    <w:p w14:paraId="7CD3EB19">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（来源：《中国社会科学》2025年第</w:t>
      </w:r>
      <w:r>
        <w:rPr>
          <w:rFonts w:hint="eastAsia" w:ascii="Times New Roman" w:hAnsi="Times New Roman" w:eastAsia="楷体" w:cs="楷体"/>
          <w:color w:val="0070C0"/>
          <w:sz w:val="21"/>
          <w:szCs w:val="21"/>
          <w:lang w:val="en-US" w:eastAsia="zh-CN"/>
        </w:rPr>
        <w:t>4</w:t>
      </w:r>
      <w:r>
        <w:rPr>
          <w:rFonts w:hint="eastAsia" w:ascii="Times New Roman" w:hAnsi="Times New Roman" w:eastAsia="楷体" w:cs="楷体"/>
          <w:color w:val="0070C0"/>
          <w:sz w:val="21"/>
          <w:szCs w:val="21"/>
          <w:lang w:eastAsia="zh-CN"/>
        </w:rPr>
        <w:t>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35" w:name="_Toc105607350"/>
      <w:bookmarkStart w:id="36" w:name="_Toc9621"/>
      <w:bookmarkStart w:id="37" w:name="_Toc21219"/>
      <w:bookmarkStart w:id="38" w:name="_Toc26588"/>
      <w:bookmarkStart w:id="39" w:name="_Toc11664"/>
      <w:bookmarkStart w:id="40" w:name="_Toc4206"/>
      <w:bookmarkStart w:id="41" w:name="_Toc3995"/>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bookmarkEnd w:id="35"/>
      <w:bookmarkEnd w:id="36"/>
      <w:r>
        <w:rPr>
          <w:rFonts w:hint="eastAsia" w:ascii="Times New Roman" w:hAnsi="Times New Roman" w:eastAsia="方正小标宋简体" w:cs="方正小标宋简体"/>
          <w:bCs/>
          <w:color w:val="000000"/>
          <w:kern w:val="2"/>
          <w:sz w:val="28"/>
          <w:szCs w:val="28"/>
          <w:lang w:val="en-US" w:eastAsia="zh-CN"/>
        </w:rPr>
        <w:t xml:space="preserve"> </w:t>
      </w:r>
      <w:bookmarkEnd w:id="37"/>
      <w:bookmarkEnd w:id="38"/>
      <w:bookmarkEnd w:id="39"/>
      <w:bookmarkEnd w:id="40"/>
      <w:r>
        <w:rPr>
          <w:rFonts w:hint="eastAsia" w:ascii="Times New Roman" w:hAnsi="Times New Roman" w:eastAsia="方正小标宋简体" w:cs="方正小标宋简体"/>
          <w:bCs/>
          <w:color w:val="000000"/>
          <w:kern w:val="2"/>
          <w:sz w:val="28"/>
          <w:szCs w:val="28"/>
          <w:lang w:val="en-US" w:eastAsia="zh-CN"/>
        </w:rPr>
        <w:t>论标准必要专利纠纷反禁诉令的适用</w:t>
      </w:r>
      <w:bookmarkEnd w:id="41"/>
    </w:p>
    <w:p w14:paraId="08D4CCD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李宗辉</w:t>
      </w:r>
    </w:p>
    <w:p w14:paraId="2E7EC51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南京航空航天大学人文与社会科学学院</w:t>
      </w:r>
    </w:p>
    <w:p w14:paraId="7CF68745">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我国法院在标准必要专利纠纷中签发的首份反禁诉令引发了广泛关注。反禁诉令的适用以禁诉令的申请或签发为前提。在标准必要专利纠纷中，禁诉令具有“双刃”效应。德国和法国法院因强调禁诉令剥夺当事人基本权利和损害国家司法主权等的当然违法性而倾向于绝对签发反禁诉令，英国和美国法院在签发反禁诉令时则主要考虑外国法院诉讼是否属于“无理或压迫性的”以及是否造成实质损害和违反衡平原则。我国法院在标准必要专利纠纷中审查反禁诉令申请时应当考量反禁诉令对国家参与国际科技产业竞争、当事人权益、各国司法和国际礼让的影响，以及当事人在诉讼和许可谈判中的相关行为。为从根本上解决标准必要专利在全球公平、合理、无歧视许可方面的法律困境和诉讼分歧，还需要通过发挥标准化组织的能动作用、促进标准必要专利全球许可费率的仲裁调解以及加强对专利主张实体恶意诉讼的法律规制，形成反禁诉令适用的协同治理机制。</w:t>
      </w:r>
    </w:p>
    <w:p w14:paraId="3BB4ED9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标准必要专利纠纷；反禁诉令；禁诉令；协同机制</w:t>
      </w:r>
    </w:p>
    <w:p w14:paraId="48B99D1B">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（来源：《法商研究》2025年第</w:t>
      </w:r>
      <w:r>
        <w:rPr>
          <w:rFonts w:hint="eastAsia" w:ascii="Times New Roman" w:hAnsi="Times New Roman" w:eastAsia="楷体" w:cs="楷体"/>
          <w:color w:val="0070C0"/>
          <w:sz w:val="21"/>
          <w:szCs w:val="21"/>
          <w:lang w:val="en-US" w:eastAsia="zh-CN"/>
        </w:rPr>
        <w:t>3</w:t>
      </w:r>
      <w:r>
        <w:rPr>
          <w:rFonts w:hint="eastAsia" w:ascii="Times New Roman" w:hAnsi="Times New Roman" w:eastAsia="楷体" w:cs="楷体"/>
          <w:color w:val="0070C0"/>
          <w:sz w:val="21"/>
          <w:szCs w:val="21"/>
          <w:lang w:eastAsia="zh-CN"/>
        </w:rPr>
        <w:t>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42" w:name="_Toc105607351"/>
      <w:bookmarkStart w:id="43" w:name="_Toc175"/>
      <w:bookmarkStart w:id="44" w:name="_Toc30581"/>
      <w:bookmarkStart w:id="45" w:name="_Toc21932"/>
      <w:bookmarkStart w:id="46" w:name="_Toc2190"/>
      <w:bookmarkStart w:id="47" w:name="_Toc441"/>
      <w:r>
        <w:rPr>
          <w:rFonts w:hint="default" w:ascii="Times New Roman" w:hAnsi="Times New Roman" w:eastAsia="方正小标宋_GBK" w:cs="Times New Roman"/>
          <w:bCs/>
          <w:kern w:val="2"/>
          <w:sz w:val="28"/>
          <w:szCs w:val="28"/>
          <w:lang w:val="en-US" w:eastAsia="zh-CN"/>
        </w:rPr>
        <w:t>3.</w:t>
      </w:r>
      <w:bookmarkEnd w:id="42"/>
      <w:r>
        <w:rPr>
          <w:rFonts w:hint="eastAsia" w:ascii="方正小标宋_GBK" w:hAnsi="方正小标宋_GBK" w:eastAsia="方正小标宋_GBK" w:cs="方正小标宋_GBK"/>
          <w:bCs/>
          <w:kern w:val="2"/>
          <w:sz w:val="28"/>
          <w:szCs w:val="28"/>
          <w:lang w:val="en-US" w:eastAsia="zh-CN"/>
        </w:rPr>
        <w:t xml:space="preserve"> </w:t>
      </w:r>
      <w:bookmarkEnd w:id="43"/>
      <w:bookmarkEnd w:id="44"/>
      <w:bookmarkEnd w:id="45"/>
      <w:bookmarkEnd w:id="46"/>
      <w:r>
        <w:rPr>
          <w:rFonts w:hint="eastAsia" w:ascii="方正小标宋_GBK" w:hAnsi="方正小标宋_GBK" w:eastAsia="方正小标宋_GBK" w:cs="方正小标宋_GBK"/>
          <w:b w:val="0"/>
          <w:bCs/>
          <w:kern w:val="2"/>
          <w:sz w:val="28"/>
          <w:szCs w:val="28"/>
          <w:lang w:val="en-US" w:eastAsia="zh-CN"/>
        </w:rPr>
        <w:t>智能时代的知识产权制度和理论发展</w:t>
      </w:r>
      <w:bookmarkEnd w:id="47"/>
    </w:p>
    <w:p w14:paraId="7962E988">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张吉豫1</w:t>
      </w:r>
      <w:r>
        <w:rPr>
          <w:rFonts w:hint="eastAsia"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eastAsia="zh-CN"/>
        </w:rPr>
        <w:t>2</w:t>
      </w:r>
    </w:p>
    <w:p w14:paraId="59ECC952">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1.中国人民大学法学院</w:t>
      </w:r>
    </w:p>
    <w:p w14:paraId="7ABE3E7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2.中国人民大学未来法治研究院</w:t>
      </w:r>
    </w:p>
    <w:p w14:paraId="7D9A8EAB">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进入21世纪以来，人类社会快速步入智能时代。智能时代具有数字化、智能化、全球化、法治化等鲜明特征，为知识产权制度和理论提出了强烈的发展需求和变革性挑战。当前，知识产权制度在主体的模糊与扩张、保护对象的界定、权利保护的方式方法等方面面临重大的变革性挑战。智能时代的知识产权法应从知识产权法保护对象理论的体系化建构、创新方式变革引发的对保护条件的反思重塑、面向智能时代创新特点的知识产权制度调适、智能科技与知识产权法治建设的有机融合、围绕国际知识产权规则开展对话和协调等重点方面展开，探索智能时代知识产权规则、制度、实践创新，推动知识产权法学理论发展。</w:t>
      </w:r>
    </w:p>
    <w:p w14:paraId="3CE8622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智能时代；知识产权；保护对象；体系化；科技与法律融合</w:t>
      </w:r>
    </w:p>
    <w:p w14:paraId="1E27D69D">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（来源：《法制与社会发展》2025年第</w:t>
      </w:r>
      <w:r>
        <w:rPr>
          <w:rFonts w:hint="eastAsia" w:ascii="Times New Roman" w:hAnsi="Times New Roman" w:eastAsia="楷体" w:cs="楷体"/>
          <w:color w:val="0070C0"/>
          <w:sz w:val="21"/>
          <w:szCs w:val="21"/>
          <w:lang w:val="en-US" w:eastAsia="zh-CN"/>
        </w:rPr>
        <w:t>3</w:t>
      </w:r>
      <w:r>
        <w:rPr>
          <w:rFonts w:hint="eastAsia" w:ascii="Times New Roman" w:hAnsi="Times New Roman" w:eastAsia="楷体" w:cs="楷体"/>
          <w:color w:val="0070C0"/>
          <w:sz w:val="21"/>
          <w:szCs w:val="21"/>
          <w:lang w:eastAsia="zh-CN"/>
        </w:rPr>
        <w:t>期）</w:t>
      </w:r>
    </w:p>
    <w:p w14:paraId="5722A91E">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 w:val="0"/>
          <w:bCs/>
          <w:kern w:val="2"/>
          <w:sz w:val="28"/>
          <w:szCs w:val="28"/>
          <w:lang w:val="en-US" w:eastAsia="zh-CN"/>
        </w:rPr>
      </w:pPr>
      <w:bookmarkStart w:id="48" w:name="_Toc105607352"/>
      <w:bookmarkStart w:id="49" w:name="_Toc19388"/>
      <w:bookmarkStart w:id="50" w:name="_Toc12839"/>
      <w:bookmarkStart w:id="51" w:name="_Toc8100"/>
      <w:bookmarkStart w:id="52" w:name="_Toc21276"/>
      <w:bookmarkStart w:id="53" w:name="_Toc1550"/>
      <w:r>
        <w:rPr>
          <w:rFonts w:hint="default" w:ascii="Times New Roman" w:hAnsi="Times New Roman" w:eastAsia="方正小标宋_GBK" w:cs="Times New Roman"/>
          <w:bCs/>
          <w:kern w:val="2"/>
          <w:sz w:val="28"/>
          <w:szCs w:val="28"/>
          <w:lang w:val="en-US" w:eastAsia="zh-CN"/>
        </w:rPr>
        <w:t>4</w:t>
      </w:r>
      <w:bookmarkEnd w:id="48"/>
      <w:r>
        <w:rPr>
          <w:rFonts w:hint="default" w:ascii="Times New Roman" w:hAnsi="Times New Roman" w:eastAsia="方正小标宋_GBK" w:cs="Times New Roman"/>
          <w:bCs/>
          <w:kern w:val="2"/>
          <w:sz w:val="28"/>
          <w:szCs w:val="28"/>
          <w:lang w:val="en-US" w:eastAsia="zh-CN"/>
        </w:rPr>
        <w:t>.</w:t>
      </w:r>
      <w:r>
        <w:rPr>
          <w:rFonts w:hint="eastAsia" w:ascii="方正小标宋_GBK" w:hAnsi="方正小标宋_GBK" w:eastAsia="方正小标宋_GBK" w:cs="方正小标宋_GBK"/>
          <w:bCs/>
          <w:kern w:val="2"/>
          <w:sz w:val="28"/>
          <w:szCs w:val="28"/>
          <w:lang w:val="en-US" w:eastAsia="zh-CN"/>
        </w:rPr>
        <w:t xml:space="preserve"> </w:t>
      </w:r>
      <w:bookmarkEnd w:id="49"/>
      <w:bookmarkEnd w:id="50"/>
      <w:bookmarkEnd w:id="51"/>
      <w:bookmarkEnd w:id="52"/>
      <w:r>
        <w:rPr>
          <w:rFonts w:hint="eastAsia" w:ascii="方正小标宋_GBK" w:hAnsi="方正小标宋_GBK" w:eastAsia="方正小标宋_GBK" w:cs="方正小标宋_GBK"/>
          <w:b w:val="0"/>
          <w:bCs/>
          <w:kern w:val="2"/>
          <w:sz w:val="28"/>
          <w:szCs w:val="28"/>
          <w:lang w:val="en-US" w:eastAsia="zh-CN"/>
        </w:rPr>
        <w:t>未来产业创新生态培育的知识产权制度因应</w:t>
      </w:r>
      <w:bookmarkEnd w:id="53"/>
    </w:p>
    <w:p w14:paraId="69041D7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冯晓青1</w:t>
      </w:r>
      <w:r>
        <w:rPr>
          <w:rFonts w:hint="eastAsia"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eastAsia="zh-CN"/>
        </w:rPr>
        <w:t>2</w:t>
      </w:r>
    </w:p>
    <w:p w14:paraId="2D89F1EC">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1.湘潭大学</w:t>
      </w:r>
    </w:p>
    <w:p w14:paraId="0A61283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2.中国政法大学</w:t>
      </w:r>
    </w:p>
    <w:p w14:paraId="0187854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未来产业是前沿性、先导性和颠覆性技术产业化的必然产物，与重大科技创新突破和战略性新兴产业密切相关，具有战略前瞻性、跨界融合性等特征。未来产业对于形成和发展我国新质生产力，促进经济社会高质量发展意义重大。发展我国未来产业，需要构建良好的创新生态系统，该系统应具有开放协同性、动态平衡性以及竞争与合作的双重性。未来产业的竞争主要体现为创新生态培育的竞争。知识产权制度是保护和激励创新、促进创新成果转化运用的法律制度和激励机制，其对于未来产业创新生态培育的功能和作用体现于制度内涵的保护机制、激励机制、市场机制、促进公平竞争机制、利益平衡机制和产业安全维护机制等。我国现行知识产权制度在促进未来产业创新生态培育方面还存在不足和局限性，需要在现行制度安排基础上实现制度创新，以更好地优化创新资源配置，提高创新能力和产业国际竞争力。</w:t>
      </w:r>
    </w:p>
    <w:p w14:paraId="3E1108B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未来产业；创新生态培育；知识产权制度；制度创新；科技创新</w:t>
      </w:r>
    </w:p>
    <w:p w14:paraId="7C96D6C7">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（来源：《当代法学》2025年第</w:t>
      </w:r>
      <w:r>
        <w:rPr>
          <w:rFonts w:hint="eastAsia" w:ascii="Times New Roman" w:hAnsi="Times New Roman" w:eastAsia="楷体" w:cs="楷体"/>
          <w:color w:val="0070C0"/>
          <w:sz w:val="21"/>
          <w:szCs w:val="21"/>
          <w:lang w:val="en-US" w:eastAsia="zh-CN"/>
        </w:rPr>
        <w:t>1</w:t>
      </w:r>
      <w:r>
        <w:rPr>
          <w:rFonts w:hint="eastAsia" w:ascii="Times New Roman" w:hAnsi="Times New Roman" w:eastAsia="楷体" w:cs="楷体"/>
          <w:color w:val="0070C0"/>
          <w:sz w:val="21"/>
          <w:szCs w:val="21"/>
          <w:lang w:eastAsia="zh-CN"/>
        </w:rPr>
        <w:t>期）</w:t>
      </w:r>
    </w:p>
    <w:p w14:paraId="6AD10C24">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54" w:name="_Toc105607353"/>
      <w:bookmarkStart w:id="55" w:name="_Toc16475"/>
      <w:bookmarkStart w:id="56" w:name="_Toc13754"/>
      <w:bookmarkStart w:id="57" w:name="_Toc11457"/>
      <w:bookmarkStart w:id="58" w:name="_Toc26878"/>
      <w:bookmarkStart w:id="59" w:name="_Toc7153"/>
      <w:r>
        <w:rPr>
          <w:rFonts w:hint="default" w:ascii="Times New Roman" w:hAnsi="Times New Roman" w:eastAsia="方正小标宋_GBK" w:cs="Times New Roman"/>
          <w:bCs/>
          <w:kern w:val="2"/>
          <w:sz w:val="28"/>
          <w:szCs w:val="28"/>
          <w:lang w:val="en-US" w:eastAsia="zh-CN"/>
        </w:rPr>
        <w:t>5.</w:t>
      </w:r>
      <w:bookmarkEnd w:id="54"/>
      <w:r>
        <w:rPr>
          <w:rFonts w:hint="eastAsia" w:ascii="方正小标宋_GBK" w:hAnsi="方正小标宋_GBK" w:eastAsia="方正小标宋_GBK" w:cs="方正小标宋_GBK"/>
          <w:bCs/>
          <w:kern w:val="2"/>
          <w:sz w:val="28"/>
          <w:szCs w:val="28"/>
          <w:lang w:val="en-US" w:eastAsia="zh-CN"/>
        </w:rPr>
        <w:t xml:space="preserve"> </w:t>
      </w:r>
      <w:bookmarkEnd w:id="55"/>
      <w:bookmarkEnd w:id="56"/>
      <w:bookmarkEnd w:id="57"/>
      <w:bookmarkEnd w:id="58"/>
      <w:r>
        <w:rPr>
          <w:rFonts w:hint="eastAsia" w:ascii="方正小标宋_GBK" w:hAnsi="方正小标宋_GBK" w:eastAsia="方正小标宋_GBK" w:cs="方正小标宋_GBK"/>
          <w:b w:val="0"/>
          <w:bCs/>
          <w:kern w:val="2"/>
          <w:sz w:val="28"/>
          <w:szCs w:val="28"/>
          <w:lang w:val="en-US" w:eastAsia="zh-CN"/>
        </w:rPr>
        <w:t>论Bolar例外在非人用药领域的扩张</w:t>
      </w:r>
      <w:bookmarkEnd w:id="59"/>
    </w:p>
    <w:p w14:paraId="23726139">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eastAsia="zh-CN"/>
        </w:rPr>
        <w:t>徐棣枫</w:t>
      </w:r>
      <w:r>
        <w:rPr>
          <w:rFonts w:hint="eastAsia" w:ascii="楷体" w:hAnsi="楷体" w:eastAsia="楷体" w:cs="楷体"/>
          <w:b w:val="0"/>
          <w:bCs/>
          <w:color w:val="000000"/>
          <w:szCs w:val="21"/>
          <w:shd w:val="clear" w:color="auto" w:fill="FFFFFF"/>
          <w:lang w:val="en-US" w:eastAsia="zh-CN"/>
        </w:rPr>
        <w:t xml:space="preserve"> </w:t>
      </w:r>
      <w:r>
        <w:rPr>
          <w:rFonts w:hint="eastAsia" w:ascii="楷体" w:hAnsi="楷体" w:eastAsia="楷体" w:cs="楷体"/>
          <w:b w:val="0"/>
          <w:bCs/>
          <w:color w:val="000000"/>
          <w:szCs w:val="21"/>
          <w:shd w:val="clear" w:color="auto" w:fill="FFFFFF"/>
          <w:lang w:eastAsia="zh-CN"/>
        </w:rPr>
        <w:t>李健</w:t>
      </w:r>
    </w:p>
    <w:p w14:paraId="76370217">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南京大学法学院</w:t>
      </w:r>
    </w:p>
    <w:p w14:paraId="51BBFA5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随着专利保护期限的临近，我国有一大批农兽仿制药面临为行政审批目的实施专利行为的侵权风险。解决非人用药上市的侵权困境成为当下药品专利制度的现实需求与重点调整方向。从美国Bolar例外制度的创立与演进历程看，其在近40年的发展过程中随着产业变革进行了多次扩张，以实现仿制药企、原研药企和社会公众之间的利益平衡。然而，我国Bolar例外制度可否扩张至非人用药领域？扩张方式、扩张限度及其应当遵循的原则和限制性标准等问题均存在理论与制度空白，亟待系统研究。通过深入分析可知，Bolar例外制度在非人用药领域的扩张具有理论正当性与现实可行性。就正当性而言，首先，该扩张符合产业政策导向。基于实验性用途专利豁免发展而来的Bolar例外，其创制与发展均以产业变革为基本遵循。通过将农兽药行政审批相关的专利实施行为纳入“安全港”范畴，能够促进我国农兽仿制药的及时上市，优化现行产业结构。其次，有助于提升健康食品的可及性。在食品安全战略背景下，作为专利政策调节工具的Bolar例外蕴含公共政策属性，可有效规制农兽药专利的过度垄断，协调专利权人与社会公众在健康食品可及性方面的利益张力。此外，从国际规则看，该扩张具有国际法层面的合规性。农兽药Bolar豁免符合《TRIPS协议》第30条规定的三重检验标准，是国际条约框架下的合规性调整。就扩张限度而言，首先，从制度层面看，Bolar例外具有独立的制度价值，不应与专利期限补偿制度混同。原研药企常以利益平衡为由将二者划上等号，这种极具迷惑性的表观平衡背后更多地隐藏着对自身利益的呼吁。其次，从对象层面看，基于产业政策理论的比较优势，在农兽药领域的扩张应当局限于具有当下产业上市需求的化学药领域，不宜过早延伸至农兽生物制药，避免制度调整的偏差带来基础资源配置的错误和医药专利政策的失利。就具体路径选择而言，结合我国Bolar例外制度现状和域外比较分析结果，同时考虑到我国历次《专利法》修正的时间周期，建议采用两步法扩张其在非人用药领域的适用。第一阶段，借鉴美国司法豁免模式，实现在《专利法》修改前的过渡性司法扩张。第二阶段，在《专利法》第五次修正时将非人用药正式纳入Bolar例外的法律规范体系，通过稳定的制度体系促进我国农兽仿制药产业优势竞争格局的形成。</w:t>
      </w:r>
    </w:p>
    <w:p w14:paraId="45F64FF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Bolar例外；非人用药；产业政策；制度扩张；竞争格局</w:t>
      </w:r>
    </w:p>
    <w:p w14:paraId="6F0F553E">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（来源：《重庆大学学报（社会科学版）》2025年第</w:t>
      </w:r>
      <w:r>
        <w:rPr>
          <w:rFonts w:hint="eastAsia" w:ascii="Times New Roman" w:hAnsi="Times New Roman" w:eastAsia="楷体" w:cs="楷体"/>
          <w:color w:val="0070C0"/>
          <w:sz w:val="21"/>
          <w:szCs w:val="21"/>
          <w:lang w:val="en-US" w:eastAsia="zh-CN"/>
        </w:rPr>
        <w:t>1</w:t>
      </w:r>
      <w:r>
        <w:rPr>
          <w:rFonts w:hint="eastAsia" w:ascii="Times New Roman" w:hAnsi="Times New Roman" w:eastAsia="楷体" w:cs="楷体"/>
          <w:color w:val="0070C0"/>
          <w:sz w:val="21"/>
          <w:szCs w:val="21"/>
          <w:lang w:eastAsia="zh-CN"/>
        </w:rPr>
        <w:t>期）</w:t>
      </w:r>
    </w:p>
    <w:p w14:paraId="46C6601E">
      <w:pPr>
        <w:jc w:val="both"/>
        <w:rPr>
          <w:rFonts w:hint="eastAsia" w:ascii="Times New Roman" w:hAnsi="Times New Roman" w:eastAsia="楷体" w:cs="楷体"/>
          <w:color w:val="0070C0"/>
          <w:sz w:val="21"/>
          <w:szCs w:val="21"/>
          <w:lang w:eastAsia="zh-CN"/>
        </w:rPr>
      </w:pPr>
    </w:p>
    <w:p w14:paraId="09F7F43F">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60" w:name="_Toc30263"/>
      <w:bookmarkStart w:id="61" w:name="_Toc31970"/>
      <w:bookmarkStart w:id="62" w:name="_Toc6359"/>
      <w:bookmarkStart w:id="63" w:name="_Toc105607355"/>
      <w:bookmarkStart w:id="64" w:name="_Toc24700"/>
      <w:bookmarkStart w:id="65" w:name="_Toc3249"/>
      <w:r>
        <w:t>中文管理类核心期刊知识产权文章摘编</w:t>
      </w:r>
      <w:bookmarkEnd w:id="60"/>
      <w:bookmarkEnd w:id="61"/>
      <w:bookmarkEnd w:id="62"/>
      <w:bookmarkEnd w:id="63"/>
      <w:bookmarkEnd w:id="64"/>
      <w:bookmarkEnd w:id="65"/>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选刊范围：《中国社会科学》及国家自科基金委管理科学部认定AB类重点期刊</w:t>
      </w:r>
    </w:p>
    <w:bookmarkEnd w:id="26"/>
    <w:bookmarkEnd w:id="27"/>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66" w:name="_Toc14518"/>
      <w:bookmarkStart w:id="67" w:name="_Toc6894"/>
      <w:bookmarkStart w:id="68" w:name="_Toc105607356"/>
      <w:bookmarkStart w:id="69" w:name="_Toc2816"/>
      <w:bookmarkStart w:id="70" w:name="_Toc536"/>
      <w:bookmarkStart w:id="71" w:name="_Toc27026"/>
      <w:bookmarkStart w:id="72" w:name="_Toc12517"/>
      <w:bookmarkStart w:id="73" w:name="_Toc54554587"/>
      <w:bookmarkStart w:id="74" w:name="_Toc57418534"/>
      <w:bookmarkStart w:id="75" w:name="_Toc69834946"/>
      <w:r>
        <w:rPr>
          <w:rFonts w:hint="eastAsia" w:ascii="Times New Roman" w:hAnsi="Times New Roman" w:eastAsia="方正小标宋简体" w:cs="方正小标宋简体"/>
          <w:bCs/>
          <w:color w:val="000000"/>
          <w:kern w:val="2"/>
          <w:sz w:val="28"/>
          <w:szCs w:val="28"/>
          <w:lang w:eastAsia="zh-CN"/>
        </w:rPr>
        <w:t>1.</w:t>
      </w:r>
      <w:bookmarkEnd w:id="66"/>
      <w:r>
        <w:rPr>
          <w:rFonts w:hint="eastAsia" w:ascii="Times New Roman" w:hAnsi="Times New Roman" w:eastAsia="方正小标宋简体" w:cs="方正小标宋简体"/>
          <w:bCs/>
          <w:color w:val="000000"/>
          <w:kern w:val="2"/>
          <w:sz w:val="28"/>
          <w:szCs w:val="28"/>
          <w:lang w:val="en-US" w:eastAsia="zh-CN"/>
        </w:rPr>
        <w:t xml:space="preserve"> </w:t>
      </w:r>
      <w:bookmarkEnd w:id="67"/>
      <w:bookmarkEnd w:id="68"/>
      <w:bookmarkEnd w:id="69"/>
      <w:bookmarkEnd w:id="70"/>
      <w:bookmarkEnd w:id="71"/>
      <w:r>
        <w:rPr>
          <w:rFonts w:hint="eastAsia" w:ascii="Times New Roman" w:hAnsi="Times New Roman" w:eastAsia="方正小标宋简体" w:cs="方正小标宋简体"/>
          <w:bCs/>
          <w:color w:val="000000"/>
          <w:kern w:val="2"/>
          <w:sz w:val="28"/>
          <w:szCs w:val="28"/>
          <w:lang w:val="en-US" w:eastAsia="zh-CN"/>
        </w:rPr>
        <w:t>标准定则市场兴——技术标准对专利交易的促进作用研究</w:t>
      </w:r>
      <w:bookmarkEnd w:id="72"/>
    </w:p>
    <w:p w14:paraId="44398AD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val="en-US" w:eastAsia="zh-CN"/>
        </w:rPr>
        <w:t>曹春方1,2 龚曼宁1</w:t>
      </w:r>
    </w:p>
    <w:p w14:paraId="45ABD8AC">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1.中山大学管理学院</w:t>
      </w:r>
    </w:p>
    <w:p w14:paraId="0299EEF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2.中山大学现代会计与财务研究中心</w:t>
      </w:r>
    </w:p>
    <w:p w14:paraId="059FB0B7">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技术不确定性是制约技术要素市场发展的重要因素，但现有研究未充分探讨。本文以国家标准化指导性技术文件的出台作为技术不确定性降低的外生冲击，基于全国专利交易数据，构建双重差分模型，实证研究发现：（1）技术标准出台促进该行业专利交易提升7.1%；（2）行业特征方面，这种促进作用在搜索成本、信息不对称以及套牢风险较高的行业中更强；（3）标准类型方面，技术内容型、市场导向型和持续有效的技术标准对专利交易的促进作用更强。交易主体方面，这种促进作用主要体现在公司买方中；（4）这种促进作用也优化了专利交易市场的结构和效率，增加了交易主体数量，降低了交易主体集中度，促进了跨行业交易，还促进了交易完成后专利的价值提升。本文的研究表明，更好地发挥技术标准降低技术不确定性的作用，是促进技术要素市场高质量发展、优化技术资源配置的有效途径。</w:t>
      </w:r>
    </w:p>
    <w:p w14:paraId="44AB32B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技术不确定性；技术标准；专利交易；技术资源配置优化</w:t>
      </w:r>
    </w:p>
    <w:p w14:paraId="054FDE45">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（来源：《管理世界》2025年第</w:t>
      </w:r>
      <w:r>
        <w:rPr>
          <w:rFonts w:hint="eastAsia" w:ascii="Times New Roman" w:hAnsi="Times New Roman" w:eastAsia="楷体" w:cs="楷体"/>
          <w:color w:val="0070C0"/>
          <w:sz w:val="21"/>
          <w:szCs w:val="21"/>
          <w:lang w:val="en-US" w:eastAsia="zh-CN"/>
        </w:rPr>
        <w:t>1</w:t>
      </w:r>
      <w:r>
        <w:rPr>
          <w:rFonts w:hint="eastAsia" w:ascii="Times New Roman" w:hAnsi="Times New Roman" w:eastAsia="楷体" w:cs="楷体"/>
          <w:color w:val="0070C0"/>
          <w:sz w:val="21"/>
          <w:szCs w:val="21"/>
          <w:lang w:eastAsia="zh-CN"/>
        </w:rPr>
        <w:t>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76" w:name="_Toc105607361"/>
      <w:bookmarkStart w:id="77" w:name="_Toc6677"/>
      <w:bookmarkStart w:id="78" w:name="_Toc9048"/>
      <w:bookmarkStart w:id="79" w:name="_Toc7535"/>
      <w:bookmarkStart w:id="80" w:name="_Toc22986"/>
      <w:bookmarkStart w:id="81" w:name="_Toc7465"/>
      <w:bookmarkStart w:id="82" w:name="_Hlk10229549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76"/>
      <w:bookmarkEnd w:id="77"/>
      <w:bookmarkEnd w:id="78"/>
      <w:bookmarkEnd w:id="79"/>
      <w:bookmarkEnd w:id="80"/>
      <w:r>
        <w:rPr>
          <w:rFonts w:hint="eastAsia" w:ascii="Times New Roman" w:hAnsi="Times New Roman" w:eastAsia="方正小标宋简体" w:cs="方正小标宋简体"/>
          <w:bCs/>
          <w:color w:val="000000"/>
          <w:kern w:val="2"/>
          <w:sz w:val="28"/>
          <w:szCs w:val="28"/>
          <w:lang w:val="en-US" w:eastAsia="zh-CN"/>
        </w:rPr>
        <w:t>知识产权保护战略对智能创新集聚的影响研究</w:t>
      </w:r>
      <w:bookmarkEnd w:id="81"/>
    </w:p>
    <w:bookmarkEnd w:id="82"/>
    <w:p w14:paraId="77E885DE">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w:t>
      </w:r>
      <w:r>
        <w:rPr>
          <w:rFonts w:hint="default" w:ascii="Times New Roman" w:hAnsi="Times New Roman" w:eastAsia="楷体" w:cs="Times New Roman"/>
          <w:b/>
          <w:color w:val="000000"/>
          <w:szCs w:val="21"/>
          <w:shd w:val="clear" w:color="auto" w:fill="FFFFFF"/>
          <w:lang w:eastAsia="zh-CN"/>
        </w:rPr>
        <w:t>者：</w:t>
      </w:r>
      <w:r>
        <w:rPr>
          <w:rFonts w:hint="default" w:ascii="Times New Roman" w:hAnsi="Times New Roman" w:eastAsia="楷体" w:cs="Times New Roman"/>
          <w:b w:val="0"/>
          <w:bCs/>
          <w:color w:val="000000"/>
          <w:szCs w:val="21"/>
          <w:shd w:val="clear" w:color="auto" w:fill="FFFFFF"/>
          <w:lang w:eastAsia="zh-CN"/>
        </w:rPr>
        <w:t>李照东</w:t>
      </w:r>
    </w:p>
    <w:p w14:paraId="0348F95D">
      <w:pPr>
        <w:spacing w:before="120" w:beforeLines="50" w:after="120" w:afterLines="50" w:line="360" w:lineRule="auto"/>
        <w:jc w:val="both"/>
        <w:rPr>
          <w:rFonts w:hint="default" w:ascii="Times New Roman" w:hAnsi="Times New Roman" w:eastAsia="楷体" w:cs="Times New Roman"/>
          <w:b w:val="0"/>
          <w:bCs/>
          <w:color w:val="000000"/>
          <w:szCs w:val="21"/>
          <w:shd w:val="clear" w:color="auto" w:fill="FFFFFF"/>
          <w:lang w:eastAsia="zh-CN"/>
        </w:rPr>
      </w:pPr>
      <w:r>
        <w:rPr>
          <w:rFonts w:hint="default" w:ascii="Times New Roman" w:hAnsi="Times New Roman" w:eastAsia="楷体" w:cs="Times New Roman"/>
          <w:b/>
          <w:color w:val="000000"/>
          <w:szCs w:val="21"/>
          <w:shd w:val="clear" w:color="auto" w:fill="FFFFFF"/>
          <w:lang w:eastAsia="zh-CN"/>
        </w:rPr>
        <w:t>机构：</w:t>
      </w:r>
      <w:r>
        <w:rPr>
          <w:rFonts w:hint="default" w:ascii="Times New Roman" w:hAnsi="Times New Roman" w:eastAsia="楷体" w:cs="Times New Roman"/>
          <w:b w:val="0"/>
          <w:bCs/>
          <w:color w:val="000000"/>
          <w:szCs w:val="21"/>
          <w:shd w:val="clear" w:color="auto" w:fill="FFFFFF"/>
          <w:lang w:eastAsia="zh-CN"/>
        </w:rPr>
        <w:t>西北政法大学国际法学院</w:t>
      </w:r>
    </w:p>
    <w:p w14:paraId="5CF78D3E">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default" w:ascii="Times New Roman" w:hAnsi="Times New Roman" w:eastAsia="楷体" w:cs="Times New Roman"/>
          <w:b w:val="0"/>
          <w:bCs/>
          <w:color w:val="000000"/>
          <w:szCs w:val="21"/>
          <w:shd w:val="clear" w:color="auto" w:fill="FFFFFF"/>
          <w:lang w:eastAsia="zh-CN"/>
        </w:rPr>
        <w:t>落实知识产权保护战略是中国形塑战略性资源发展优势与提升国际竞争实力的核心要义。设立2008</w:t>
      </w:r>
      <w:r>
        <w:rPr>
          <w:rFonts w:hint="eastAsia" w:ascii="Times New Roman" w:hAnsi="Times New Roman" w:eastAsia="楷体" w:cs="Times New Roman"/>
          <w:b w:val="0"/>
          <w:bCs/>
          <w:color w:val="000000"/>
          <w:szCs w:val="21"/>
          <w:shd w:val="clear" w:color="auto" w:fill="FFFFFF"/>
          <w:lang w:eastAsia="zh-CN"/>
        </w:rPr>
        <w:t>—</w:t>
      </w:r>
      <w:r>
        <w:rPr>
          <w:rFonts w:hint="default" w:ascii="Times New Roman" w:hAnsi="Times New Roman" w:eastAsia="楷体" w:cs="Times New Roman"/>
          <w:b w:val="0"/>
          <w:bCs/>
          <w:color w:val="000000"/>
          <w:szCs w:val="21"/>
          <w:shd w:val="clear" w:color="auto" w:fill="FFFFFF"/>
          <w:lang w:eastAsia="zh-CN"/>
        </w:rPr>
        <w:t>2023年为研究时段，选取276个城市面板数据，以国家知识产权试点示范城市政策为一项准自然实验，构建双重差分模型与中介效应检验模型，实证考量知识产权保护战略、智能创新集聚的关系以及二者间作用的链式传导机制。主要研究结论：基准回归结果显示，知识产权保护战略对智能创新集聚具有正向影响效应，且这个结论经过模型有效性与稳健性检验后依然成立。作用机制识别结果显示，知识产权保护战略以促进技术市场规模扩张、降低非主动式技术创新溢出损失两条传导路径促进智能创新集聚。异质性分析结果显示，相较于胡焕庸线西北地区、创新环境一般地区，知识产权保护战略对智能创新集聚的积极助推作用在胡焕庸线东南地区、创新环境优良地区更为显著。</w:t>
      </w:r>
    </w:p>
    <w:p w14:paraId="04625E5D">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知识产权保护战略；智能创新集聚；试点示范城市政策；人工智能</w:t>
      </w:r>
    </w:p>
    <w:p w14:paraId="26A70821">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（来源：《中国软科学》2025年第</w:t>
      </w:r>
      <w:r>
        <w:rPr>
          <w:rFonts w:hint="eastAsia" w:ascii="Times New Roman" w:hAnsi="Times New Roman" w:eastAsia="楷体" w:cs="楷体"/>
          <w:color w:val="0070C0"/>
          <w:sz w:val="21"/>
          <w:szCs w:val="21"/>
          <w:lang w:val="en-US" w:eastAsia="zh-CN"/>
        </w:rPr>
        <w:t>3</w:t>
      </w:r>
      <w:r>
        <w:rPr>
          <w:rFonts w:hint="eastAsia" w:ascii="Times New Roman" w:hAnsi="Times New Roman" w:eastAsia="楷体" w:cs="楷体"/>
          <w:color w:val="0070C0"/>
          <w:sz w:val="21"/>
          <w:szCs w:val="21"/>
          <w:lang w:eastAsia="zh-CN"/>
        </w:rPr>
        <w:t>期）</w:t>
      </w:r>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eastAsia="zh-CN"/>
        </w:rPr>
      </w:pPr>
      <w:bookmarkStart w:id="83" w:name="_Toc15994"/>
      <w:bookmarkStart w:id="84" w:name="_Toc6769"/>
      <w:bookmarkStart w:id="85" w:name="_Toc14297"/>
      <w:bookmarkStart w:id="86" w:name="_Toc27692"/>
      <w:bookmarkStart w:id="87" w:name="_Toc22786"/>
      <w:r>
        <w:rPr>
          <w:rFonts w:hint="eastAsia" w:ascii="Times New Roman" w:hAnsi="Times New Roman" w:eastAsia="方正小标宋简体" w:cs="方正小标宋简体"/>
          <w:bCs/>
          <w:color w:val="000000"/>
          <w:kern w:val="2"/>
          <w:sz w:val="28"/>
          <w:szCs w:val="28"/>
          <w:lang w:val="en-US" w:eastAsia="zh-CN"/>
        </w:rPr>
        <w:t>3</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3"/>
      <w:bookmarkEnd w:id="84"/>
      <w:bookmarkEnd w:id="85"/>
      <w:bookmarkEnd w:id="86"/>
      <w:r>
        <w:rPr>
          <w:rFonts w:hint="eastAsia" w:ascii="Times New Roman" w:hAnsi="Times New Roman" w:eastAsia="方正小标宋简体" w:cs="方正小标宋简体"/>
          <w:bCs/>
          <w:color w:val="000000"/>
          <w:kern w:val="2"/>
          <w:sz w:val="28"/>
          <w:szCs w:val="28"/>
          <w:lang w:val="en-US" w:eastAsia="zh-CN"/>
        </w:rPr>
        <w:t>考虑不同权力结构的供应链知识产权质押融资决策研究</w:t>
      </w:r>
      <w:bookmarkEnd w:id="87"/>
    </w:p>
    <w:p w14:paraId="2DD31DB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万骁乐1,2</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王坤燕1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张坤珵3,2</w:t>
      </w:r>
    </w:p>
    <w:p w14:paraId="4D9FB20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1.中国海洋大学管理学院</w:t>
      </w:r>
    </w:p>
    <w:p w14:paraId="3B479E0E">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val="en-US" w:eastAsia="zh-CN"/>
        </w:rPr>
        <w:t>2.</w:t>
      </w:r>
      <w:r>
        <w:rPr>
          <w:rFonts w:hint="eastAsia" w:ascii="Times New Roman" w:hAnsi="Times New Roman" w:eastAsia="楷体" w:cs="楷体"/>
          <w:b w:val="0"/>
          <w:bCs/>
          <w:color w:val="000000"/>
          <w:szCs w:val="21"/>
          <w:shd w:val="clear" w:color="auto" w:fill="FFFFFF"/>
          <w:lang w:eastAsia="zh-CN"/>
        </w:rPr>
        <w:t>中国海洋大学海洋发展研究院</w:t>
      </w:r>
    </w:p>
    <w:p w14:paraId="22AC94B1">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3.中国海洋大学马克思主义学院</w:t>
      </w:r>
    </w:p>
    <w:p w14:paraId="5E3ABF96">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知识产权质押融资是缓解科技型中小企业资金匮乏问题的重要手段，然而，可质押固定资产规模小、信用风险高成为科技型中小企业知识产权融资所面临的关键难题。本文基于供应链视角，以核心企业为中小企业提供信用担保帮助其进行知识产权质押融资为解决途径，构建由单一供应商和制造商组成的二级供应链，兼而考虑以供应商主导和制造商主导的两种不同权力结构以及供应商知识产权估值与自有资金之间的不同关系，建立了四种模式下的供应链知识产权质押融资决策模型，并在此基础上对比分析四种模式下供应商和制造商的最优决策，运用数值仿真进一步验证了供应商产品价格系数和信贷利率及其影响系数对于供应商和制造商的产品价格、产量及利润的影响。研究表明，进行知识产权质押融资后能够满足供应链企业生产需求的情况下，供应商主导整个二级供应链的运作模式更有利于供应商进行知识产权质押融资，并促进整个供应链系统的协调运作。为确保供应链相关主体良好地进行知识产权价值共创，供应商应通过给予合理的价格折扣等契约形式提高核心企业等多方主体的参与度。本研究为供应链知识产权质押融资的运作和中小企业资金短缺纾困，提供理论基础和实践指导。</w:t>
      </w:r>
    </w:p>
    <w:p w14:paraId="1D14CFFE">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知识产权质押；供应链融资；不同权力结构；融资决策</w:t>
      </w:r>
    </w:p>
    <w:p w14:paraId="32800148">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（来源：《中国管理科学》2025年第</w:t>
      </w:r>
      <w:r>
        <w:rPr>
          <w:rFonts w:hint="eastAsia" w:ascii="Times New Roman" w:hAnsi="Times New Roman" w:eastAsia="楷体" w:cs="楷体"/>
          <w:color w:val="0070C0"/>
          <w:sz w:val="21"/>
          <w:szCs w:val="21"/>
          <w:lang w:val="en-US" w:eastAsia="zh-CN"/>
        </w:rPr>
        <w:t>4</w:t>
      </w:r>
      <w:r>
        <w:rPr>
          <w:rFonts w:hint="eastAsia" w:ascii="Times New Roman" w:hAnsi="Times New Roman" w:eastAsia="楷体" w:cs="楷体"/>
          <w:color w:val="0070C0"/>
          <w:sz w:val="21"/>
          <w:szCs w:val="21"/>
          <w:lang w:eastAsia="zh-CN"/>
        </w:rPr>
        <w:t>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lang w:eastAsia="zh-CN"/>
        </w:rPr>
      </w:pPr>
      <w:bookmarkStart w:id="88" w:name="_Toc31940"/>
      <w:bookmarkStart w:id="89" w:name="_Toc21167"/>
      <w:bookmarkStart w:id="90" w:name="_Toc13877"/>
      <w:bookmarkStart w:id="91" w:name="_Toc1676"/>
      <w:bookmarkStart w:id="92" w:name="_Toc2490"/>
      <w:r>
        <w:rPr>
          <w:rFonts w:hint="eastAsia" w:ascii="Times New Roman" w:hAnsi="Times New Roman" w:eastAsia="方正小标宋简体" w:cs="方正小标宋简体"/>
          <w:bCs/>
          <w:color w:val="000000"/>
          <w:kern w:val="2"/>
          <w:sz w:val="28"/>
          <w:szCs w:val="28"/>
          <w:lang w:val="en-US" w:eastAsia="zh-CN"/>
        </w:rPr>
        <w:t>4</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88"/>
      <w:bookmarkEnd w:id="89"/>
      <w:bookmarkEnd w:id="90"/>
      <w:bookmarkEnd w:id="91"/>
      <w:r>
        <w:rPr>
          <w:rFonts w:hint="eastAsia" w:ascii="Times New Roman" w:hAnsi="Times New Roman" w:eastAsia="方正小标宋简体" w:cs="方正小标宋简体"/>
          <w:bCs/>
          <w:color w:val="000000"/>
          <w:kern w:val="2"/>
          <w:sz w:val="28"/>
          <w:szCs w:val="28"/>
          <w:lang w:val="en-US" w:eastAsia="zh-CN"/>
        </w:rPr>
        <w:t>专利代理服务如何提升企业专利质量？——来自中国上市公司的证据</w:t>
      </w:r>
      <w:bookmarkEnd w:id="92"/>
    </w:p>
    <w:p w14:paraId="3BEF870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于洋1,2</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方森辉3,4</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蒋殿春4,5</w:t>
      </w:r>
    </w:p>
    <w:p w14:paraId="7A745DF9">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1.清华大学公共管理学院</w:t>
      </w:r>
    </w:p>
    <w:p w14:paraId="098AB58A">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val="en-US" w:eastAsia="zh-CN"/>
        </w:rPr>
        <w:t>2.</w:t>
      </w:r>
      <w:r>
        <w:rPr>
          <w:rFonts w:hint="eastAsia" w:ascii="Times New Roman" w:hAnsi="Times New Roman" w:eastAsia="楷体" w:cs="楷体"/>
          <w:b w:val="0"/>
          <w:bCs/>
          <w:color w:val="000000"/>
          <w:szCs w:val="21"/>
          <w:shd w:val="clear" w:color="auto" w:fill="FFFFFF"/>
          <w:lang w:eastAsia="zh-CN"/>
        </w:rPr>
        <w:t>清华大学中国科技政策研究中心</w:t>
      </w:r>
    </w:p>
    <w:p w14:paraId="2DE78796">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3.南开大学经济学院</w:t>
      </w:r>
    </w:p>
    <w:p w14:paraId="1B3B0D22">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4.南开大学跨国公司研究中心</w:t>
      </w:r>
    </w:p>
    <w:p w14:paraId="5ABDFE81">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5.南开大学经济行为与政策模拟实验室</w:t>
      </w:r>
    </w:p>
    <w:p w14:paraId="46440D2F">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本文详尽梳理我国专利代理机制的变迁和专利代理行业的发展历程，从理论和实证角度考察专利代理服务对企业专利质量的作用效果及影响机制。研究发现：（1）提高城市专利代理服务水平显著提升了企业专利质量，并对发明专利产生了更强的作用效果。这一结论在考虑内生性问题、指标选取、企业迁移以及近邻城市影响后仍旧稳健。（2）异质性检验发现，提高专利代理服务水平更有助于国有企业、处于高技术行业企业、位于内陆城市企业、成立年限较低企业以及专利代理率较高企业的专利质量的提高。本研究为我国专利政策的有效实施提供了可行路径，对我国创新高质量发展具有重要现实意义。</w:t>
      </w:r>
    </w:p>
    <w:p w14:paraId="7EBC2E34">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专利代理服务；上市公司；专利质量；专利政策</w:t>
      </w:r>
    </w:p>
    <w:p w14:paraId="4C867C7E">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（来源：《管理评论》2025年第</w:t>
      </w:r>
      <w:r>
        <w:rPr>
          <w:rFonts w:hint="eastAsia" w:ascii="Times New Roman" w:hAnsi="Times New Roman" w:eastAsia="楷体" w:cs="楷体"/>
          <w:color w:val="0070C0"/>
          <w:sz w:val="21"/>
          <w:szCs w:val="21"/>
          <w:lang w:val="en-US" w:eastAsia="zh-CN"/>
        </w:rPr>
        <w:t>4</w:t>
      </w:r>
      <w:r>
        <w:rPr>
          <w:rFonts w:hint="eastAsia" w:ascii="Times New Roman" w:hAnsi="Times New Roman" w:eastAsia="楷体" w:cs="楷体"/>
          <w:color w:val="0070C0"/>
          <w:sz w:val="21"/>
          <w:szCs w:val="21"/>
          <w:lang w:eastAsia="zh-CN"/>
        </w:rPr>
        <w:t>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lang w:val="en-US" w:eastAsia="zh-CN"/>
        </w:rPr>
      </w:pPr>
      <w:bookmarkStart w:id="93" w:name="_Toc5539"/>
      <w:bookmarkStart w:id="94" w:name="_Toc28402"/>
      <w:bookmarkStart w:id="95" w:name="_Toc1731"/>
      <w:bookmarkStart w:id="96" w:name="_Toc9517"/>
      <w:bookmarkStart w:id="97" w:name="_Toc22582"/>
      <w:r>
        <w:rPr>
          <w:rFonts w:hint="eastAsia" w:ascii="Times New Roman" w:hAnsi="Times New Roman" w:eastAsia="方正小标宋简体" w:cs="方正小标宋简体"/>
          <w:bCs/>
          <w:color w:val="000000"/>
          <w:kern w:val="2"/>
          <w:sz w:val="28"/>
          <w:szCs w:val="28"/>
          <w:lang w:val="en-US" w:eastAsia="zh-CN"/>
        </w:rPr>
        <w:t>5</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93"/>
      <w:bookmarkEnd w:id="94"/>
      <w:bookmarkEnd w:id="95"/>
      <w:bookmarkEnd w:id="96"/>
      <w:r>
        <w:rPr>
          <w:rFonts w:hint="eastAsia" w:ascii="Times New Roman" w:hAnsi="Times New Roman" w:eastAsia="方正小标宋简体" w:cs="方正小标宋简体"/>
          <w:bCs/>
          <w:color w:val="000000"/>
          <w:kern w:val="2"/>
          <w:sz w:val="28"/>
          <w:szCs w:val="28"/>
          <w:lang w:val="en-US" w:eastAsia="zh-CN"/>
        </w:rPr>
        <w:t>知识产权国际保护对企业创新绩效的影响研究</w:t>
      </w:r>
      <w:bookmarkEnd w:id="97"/>
    </w:p>
    <w:p w14:paraId="48539FBD">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吴翟1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覃楚翔2</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蒋殿春1,3</w:t>
      </w:r>
    </w:p>
    <w:p w14:paraId="09ECEA01">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Times New Roman" w:hAnsi="Times New Roman" w:eastAsia="楷体" w:cs="楷体"/>
          <w:b w:val="0"/>
          <w:bCs/>
          <w:color w:val="000000"/>
          <w:szCs w:val="21"/>
          <w:shd w:val="clear" w:color="auto" w:fill="FFFFFF"/>
          <w:lang w:eastAsia="zh-CN"/>
        </w:rPr>
        <w:t>1.南开大学经济学院</w:t>
      </w:r>
    </w:p>
    <w:p w14:paraId="0715F83D">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val="en-US" w:eastAsia="zh-CN"/>
        </w:rPr>
        <w:t>2.</w:t>
      </w:r>
      <w:r>
        <w:rPr>
          <w:rFonts w:hint="eastAsia" w:ascii="Times New Roman" w:hAnsi="Times New Roman" w:eastAsia="楷体" w:cs="楷体"/>
          <w:b w:val="0"/>
          <w:bCs/>
          <w:color w:val="000000"/>
          <w:szCs w:val="21"/>
          <w:shd w:val="clear" w:color="auto" w:fill="FFFFFF"/>
          <w:lang w:eastAsia="zh-CN"/>
        </w:rPr>
        <w:t>中南财经政法大学知识产权研究中心</w:t>
      </w:r>
    </w:p>
    <w:p w14:paraId="2CAB81B3">
      <w:pPr>
        <w:numPr>
          <w:ilvl w:val="0"/>
          <w:numId w:val="0"/>
        </w:num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val="0"/>
          <w:bCs/>
          <w:color w:val="000000"/>
          <w:szCs w:val="21"/>
          <w:shd w:val="clear" w:color="auto" w:fill="FFFFFF"/>
          <w:lang w:eastAsia="zh-CN"/>
        </w:rPr>
        <w:t>3.南开大学经济行为与政策模拟实验室</w:t>
      </w:r>
    </w:p>
    <w:p w14:paraId="5498CA3A">
      <w:pPr>
        <w:spacing w:before="120" w:beforeLines="50" w:after="120" w:afterLines="50" w:line="360" w:lineRule="auto"/>
        <w:jc w:val="both"/>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Times New Roman" w:hAnsi="Times New Roman" w:eastAsia="楷体" w:cs="楷体"/>
          <w:b w:val="0"/>
          <w:bCs/>
          <w:color w:val="000000"/>
          <w:szCs w:val="21"/>
          <w:shd w:val="clear" w:color="auto" w:fill="FFFFFF"/>
          <w:lang w:eastAsia="zh-CN"/>
        </w:rPr>
        <w:t>加强知识产权国际保护，营造知识产权负责任大国形象是否有助于企业创新的争议由来已久。知识产权保护能否通过“技术引进”效应以推动企业创新有待进行实证检验。本文着眼于2004年前后中国修订《对外贸易法》等与知识产权国际保护相关法律规范的准自然实验，基于2000—2013年中国工业企业数据与海关数据的合并数据，实证检验了知识产权国际保护对于企业创新绩效的影响。实证结果显示：（1）知识产权国际保护存在“技术引进”效应，一方面有助于吸引外商直接投资，另一方面能够推动企业扩大资本品进口的数量与种类，从而有助于企业提升创新绩效。（2）知识产权国际保护对企业创新绩效存在异质性影响效应，主要体现在外资企业、非五口通商城市企业与混合贸易企业上。（3）知识产权国际保护所引致的创新，最终能够被“消化吸收”形成新产品，实现技术赶超，转化为看得见的“生产力”。本研究从国际贸易的视角实证考察了知识产权国际保护的创新激励效应，研究结论为通过知识产权领域的制度型开放吸引全球创新要素，破解“技术断供”威胁提供了重要的政策启示。</w:t>
      </w:r>
    </w:p>
    <w:p w14:paraId="19112030">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知识产权国际保护；企业创新；资本品进口；外商直接投资；技术引进</w:t>
      </w:r>
    </w:p>
    <w:p w14:paraId="222FC0F7">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（来源：《科研管理》2025年第</w:t>
      </w:r>
      <w:r>
        <w:rPr>
          <w:rFonts w:hint="eastAsia" w:ascii="Times New Roman" w:hAnsi="Times New Roman" w:eastAsia="楷体" w:cs="楷体"/>
          <w:color w:val="0070C0"/>
          <w:sz w:val="21"/>
          <w:szCs w:val="21"/>
          <w:lang w:val="en-US" w:eastAsia="zh-CN"/>
        </w:rPr>
        <w:t>5</w:t>
      </w:r>
      <w:r>
        <w:rPr>
          <w:rFonts w:hint="eastAsia" w:ascii="Times New Roman" w:hAnsi="Times New Roman" w:eastAsia="楷体" w:cs="楷体"/>
          <w:color w:val="0070C0"/>
          <w:sz w:val="21"/>
          <w:szCs w:val="21"/>
          <w:lang w:eastAsia="zh-CN"/>
        </w:rPr>
        <w:t>期）</w:t>
      </w:r>
    </w:p>
    <w:p w14:paraId="569A37AD">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219A75F1">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98" w:name="_Toc105607364"/>
      <w:bookmarkStart w:id="99" w:name="_Toc2855"/>
      <w:bookmarkStart w:id="100" w:name="_Toc28783"/>
      <w:bookmarkStart w:id="101" w:name="_Toc25228"/>
      <w:bookmarkStart w:id="102" w:name="_Toc876"/>
      <w:bookmarkStart w:id="103" w:name="_Toc11959"/>
      <w:r>
        <w:rPr>
          <w:rFonts w:hint="eastAsia"/>
        </w:rPr>
        <w:t>外文</w:t>
      </w:r>
      <w:r>
        <w:t>法学类核心期刊知识产权文章摘编</w:t>
      </w:r>
      <w:bookmarkEnd w:id="73"/>
      <w:bookmarkEnd w:id="74"/>
      <w:bookmarkEnd w:id="75"/>
      <w:bookmarkEnd w:id="98"/>
      <w:bookmarkEnd w:id="99"/>
      <w:bookmarkEnd w:id="100"/>
      <w:bookmarkEnd w:id="101"/>
      <w:bookmarkEnd w:id="102"/>
      <w:bookmarkEnd w:id="103"/>
    </w:p>
    <w:p w14:paraId="78D187D8">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w:t>
      </w:r>
      <w:r>
        <w:rPr>
          <w:rFonts w:hint="eastAsia" w:ascii="Times New Roman" w:hAnsi="Times New Roman" w:eastAsia="微软雅黑" w:cs="微软雅黑"/>
          <w:b/>
          <w:bCs/>
          <w:color w:val="95B3D7"/>
          <w:szCs w:val="21"/>
          <w:lang w:val="en-US" w:eastAsia="zh-CN"/>
        </w:rPr>
        <w:t>法学</w:t>
      </w:r>
      <w:r>
        <w:rPr>
          <w:rFonts w:hint="eastAsia" w:ascii="Times New Roman" w:hAnsi="Times New Roman" w:eastAsia="微软雅黑" w:cs="微软雅黑"/>
          <w:b/>
          <w:bCs/>
          <w:color w:val="95B3D7"/>
          <w:szCs w:val="21"/>
          <w:lang w:eastAsia="zh-CN"/>
        </w:rPr>
        <w:t>期刊</w:t>
      </w:r>
    </w:p>
    <w:p w14:paraId="2DAAE741">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val="en-US" w:eastAsia="zh-CN"/>
        </w:rPr>
      </w:pPr>
      <w:bookmarkStart w:id="104" w:name="_Toc21285"/>
      <w:bookmarkStart w:id="105" w:name="_Toc30715"/>
      <w:bookmarkStart w:id="106" w:name="_Toc24758"/>
      <w:bookmarkStart w:id="107" w:name="_Toc1989"/>
      <w:bookmarkStart w:id="108" w:name="_Toc23323"/>
      <w:bookmarkStart w:id="109" w:name="_Toc31693"/>
      <w:r>
        <w:rPr>
          <w:rFonts w:hint="default" w:ascii="Times New Roman" w:hAnsi="Times New Roman" w:eastAsia="楷体" w:cs="Times New Roman"/>
          <w:b/>
          <w:color w:val="000000"/>
          <w:kern w:val="2"/>
          <w:sz w:val="32"/>
          <w:szCs w:val="32"/>
          <w:lang w:eastAsia="zh-CN"/>
        </w:rPr>
        <w:t xml:space="preserve">1. </w:t>
      </w:r>
      <w:bookmarkEnd w:id="104"/>
      <w:bookmarkEnd w:id="105"/>
      <w:bookmarkEnd w:id="106"/>
      <w:bookmarkEnd w:id="107"/>
      <w:r>
        <w:rPr>
          <w:rFonts w:hint="default" w:ascii="Times New Roman" w:hAnsi="Times New Roman" w:eastAsia="楷体" w:cs="Times New Roman"/>
          <w:b/>
          <w:color w:val="000000"/>
          <w:kern w:val="2"/>
          <w:sz w:val="32"/>
          <w:szCs w:val="32"/>
          <w:lang w:eastAsia="zh-CN"/>
        </w:rPr>
        <w:t>Fractional versus Full-Work Licensing: The Case of Performance Rights Organizations</w:t>
      </w:r>
      <w:bookmarkEnd w:id="108"/>
    </w:p>
    <w:p w14:paraId="4FD901AC">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作者：</w:t>
      </w:r>
      <w:r>
        <w:rPr>
          <w:rFonts w:hint="default" w:ascii="Times New Roman" w:hAnsi="Times New Roman" w:eastAsia="楷体" w:cs="Times New Roman"/>
          <w:b w:val="0"/>
          <w:bCs w:val="0"/>
          <w:sz w:val="21"/>
          <w:szCs w:val="21"/>
          <w:lang w:eastAsia="zh-CN"/>
        </w:rPr>
        <w:t>Kim, JH (Kim, Jin-Hyuk)</w:t>
      </w:r>
      <w:r>
        <w:rPr>
          <w:rFonts w:hint="eastAsia" w:ascii="Times New Roman" w:hAnsi="Times New Roman" w:eastAsia="楷体" w:cs="Times New Roman"/>
          <w:b w:val="0"/>
          <w:bCs w:val="0"/>
          <w:sz w:val="21"/>
          <w:szCs w:val="21"/>
          <w:lang w:val="en-US" w:eastAsia="zh-CN"/>
        </w:rPr>
        <w:t>1</w:t>
      </w:r>
    </w:p>
    <w:p w14:paraId="653D8DCB">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机构：</w:t>
      </w:r>
      <w:r>
        <w:rPr>
          <w:rFonts w:hint="eastAsia" w:ascii="Times New Roman" w:hAnsi="Times New Roman" w:eastAsia="楷体" w:cs="Times New Roman"/>
          <w:b w:val="0"/>
          <w:bCs w:val="0"/>
          <w:sz w:val="22"/>
          <w:szCs w:val="22"/>
          <w:lang w:val="en-US" w:eastAsia="zh-CN" w:bidi="ar-SA"/>
        </w:rPr>
        <w:t xml:space="preserve">1. </w:t>
      </w:r>
      <w:r>
        <w:rPr>
          <w:rFonts w:hint="default" w:ascii="Times New Roman" w:hAnsi="Times New Roman" w:eastAsia="楷体" w:cs="Times New Roman"/>
          <w:b w:val="0"/>
          <w:bCs w:val="0"/>
          <w:sz w:val="21"/>
          <w:szCs w:val="21"/>
          <w:lang w:eastAsia="zh-CN"/>
        </w:rPr>
        <w:t>Univ Colorado Boulder, Boulder, CO 80309 USA</w:t>
      </w:r>
    </w:p>
    <w:p w14:paraId="5ADF4243">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default" w:ascii="Times New Roman" w:hAnsi="Times New Roman" w:eastAsia="楷体" w:cs="Times New Roman"/>
          <w:b w:val="0"/>
          <w:bCs w:val="0"/>
          <w:sz w:val="21"/>
          <w:szCs w:val="21"/>
          <w:lang w:eastAsia="zh-CN"/>
        </w:rPr>
      </w:pPr>
      <w:r>
        <w:rPr>
          <w:rFonts w:hint="default" w:ascii="Times New Roman" w:hAnsi="Times New Roman" w:eastAsia="楷体" w:cs="Times New Roman"/>
          <w:b/>
          <w:bCs/>
          <w:sz w:val="22"/>
          <w:szCs w:val="22"/>
          <w:lang w:val="en-US" w:eastAsia="zh-CN" w:bidi="ar-SA"/>
        </w:rPr>
        <w:t>摘要：</w:t>
      </w:r>
      <w:r>
        <w:rPr>
          <w:rFonts w:hint="default" w:ascii="Times New Roman" w:hAnsi="Times New Roman" w:eastAsia="楷体" w:cs="Times New Roman"/>
          <w:b w:val="0"/>
          <w:bCs w:val="0"/>
          <w:sz w:val="21"/>
          <w:szCs w:val="21"/>
          <w:lang w:eastAsia="zh-CN"/>
        </w:rPr>
        <w:t>Closing a review of the antitrust consent decrees governing the organizations collecting public performance royalties on behalf of songwriters and publishers, the US Department of Justice noted that the decrees require the organizations to grant licensees full rights to use their repertories, rather than fractional rights that would require the licensees to obtain licenses from multiple organizations. This paper investigates the effect of the proposed switch from fractional to full-work licensing on the licensing equilibrium. It is found that under certain conditions licensing fees would decrease, but some music users may choose to obtain only a single license under full-work licensing.</w:t>
      </w:r>
    </w:p>
    <w:p w14:paraId="25501A70">
      <w:pPr>
        <w:pStyle w:val="14"/>
        <w:keepNext w:val="0"/>
        <w:keepLines w:val="0"/>
        <w:pageBreakBefore w:val="0"/>
        <w:kinsoku/>
        <w:wordWrap/>
        <w:overflowPunct/>
        <w:topLinePunct w:val="0"/>
        <w:bidi w:val="0"/>
        <w:adjustRightInd/>
        <w:snapToGrid w:val="0"/>
        <w:spacing w:before="120" w:beforeLines="50" w:beforeAutospacing="0" w:after="120" w:afterLines="50" w:afterAutospacing="0" w:line="360" w:lineRule="auto"/>
        <w:jc w:val="both"/>
        <w:textAlignment w:val="auto"/>
        <w:rPr>
          <w:rFonts w:hint="eastAsia"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bidi="ar-SA"/>
        </w:rPr>
        <w:t>关键词</w:t>
      </w:r>
      <w:r>
        <w:rPr>
          <w:rFonts w:hint="eastAsia" w:ascii="Times New Roman" w:hAnsi="Times New Roman" w:eastAsia="楷体" w:cs="Times New Roman"/>
          <w:b/>
          <w:bCs/>
          <w:sz w:val="22"/>
          <w:szCs w:val="22"/>
          <w:lang w:val="en-US" w:eastAsia="zh-CN" w:bidi="ar-SA"/>
        </w:rPr>
        <w:t>：</w:t>
      </w:r>
      <w:r>
        <w:rPr>
          <w:rFonts w:hint="eastAsia" w:ascii="Times New Roman" w:hAnsi="Times New Roman" w:eastAsia="楷体" w:cs="Times New Roman"/>
          <w:b w:val="0"/>
          <w:bCs w:val="0"/>
          <w:sz w:val="22"/>
          <w:szCs w:val="22"/>
          <w:lang w:val="en-US" w:eastAsia="zh-CN" w:bidi="ar-SA"/>
        </w:rPr>
        <w:t>Full-work licensing; Fractional rights</w:t>
      </w:r>
    </w:p>
    <w:p w14:paraId="6781D9FE">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（来源：JOURNAL OF LAW &amp; ECONOMICS. Volume</w:t>
      </w:r>
      <w:r>
        <w:rPr>
          <w:rFonts w:hint="eastAsia" w:ascii="Times New Roman" w:hAnsi="Times New Roman" w:eastAsia="楷体" w:cs="Times New Roman"/>
          <w:color w:val="0070C0"/>
          <w:sz w:val="21"/>
          <w:szCs w:val="21"/>
          <w:lang w:val="en-US" w:eastAsia="zh-CN"/>
        </w:rPr>
        <w:t xml:space="preserve"> 68</w:t>
      </w:r>
      <w:r>
        <w:rPr>
          <w:rFonts w:hint="default" w:ascii="Times New Roman" w:hAnsi="Times New Roman" w:eastAsia="楷体" w:cs="Times New Roman"/>
          <w:color w:val="0070C0"/>
          <w:sz w:val="21"/>
          <w:szCs w:val="21"/>
          <w:lang w:eastAsia="zh-CN"/>
        </w:rPr>
        <w:t>. Issue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1. Page 1-</w:t>
      </w:r>
      <w:r>
        <w:rPr>
          <w:rFonts w:hint="eastAsia" w:ascii="Times New Roman" w:hAnsi="Times New Roman" w:eastAsia="楷体" w:cs="Times New Roman"/>
          <w:color w:val="0070C0"/>
          <w:sz w:val="21"/>
          <w:szCs w:val="21"/>
          <w:lang w:val="en-US" w:eastAsia="zh-CN"/>
        </w:rPr>
        <w:t>21</w:t>
      </w:r>
      <w:r>
        <w:rPr>
          <w:rFonts w:hint="default" w:ascii="Times New Roman" w:hAnsi="Times New Roman" w:eastAsia="楷体" w:cs="Times New Roman"/>
          <w:color w:val="0070C0"/>
          <w:sz w:val="21"/>
          <w:szCs w:val="21"/>
          <w:lang w:eastAsia="zh-CN"/>
        </w:rPr>
        <w:t>. F</w:t>
      </w:r>
      <w:r>
        <w:rPr>
          <w:rFonts w:hint="eastAsia" w:ascii="Times New Roman" w:hAnsi="Times New Roman" w:eastAsia="楷体" w:cs="Times New Roman"/>
          <w:color w:val="0070C0"/>
          <w:sz w:val="21"/>
          <w:szCs w:val="21"/>
          <w:lang w:val="en-US" w:eastAsia="zh-CN"/>
        </w:rPr>
        <w:t>eb</w:t>
      </w:r>
      <w:r>
        <w:rPr>
          <w:rFonts w:hint="default" w:ascii="Times New Roman" w:hAnsi="Times New Roman" w:eastAsia="楷体" w:cs="Times New Roman"/>
          <w:color w:val="0070C0"/>
          <w:sz w:val="21"/>
          <w:szCs w:val="21"/>
          <w:lang w:eastAsia="zh-CN"/>
        </w:rPr>
        <w:t xml:space="preserve"> 2025</w:t>
      </w:r>
      <w:r>
        <w:rPr>
          <w:rFonts w:hint="eastAsia" w:ascii="Times New Roman" w:hAnsi="Times New Roman" w:eastAsia="楷体" w:cs="Times New Roman"/>
          <w:color w:val="0070C0"/>
          <w:sz w:val="21"/>
          <w:szCs w:val="21"/>
          <w:lang w:eastAsia="zh-CN"/>
        </w:rPr>
        <w:t>）</w:t>
      </w:r>
    </w:p>
    <w:bookmarkEnd w:id="109"/>
    <w:p w14:paraId="40C2091B">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0" w:name="_Toc29242"/>
      <w:bookmarkStart w:id="111" w:name="_Toc28793"/>
      <w:bookmarkStart w:id="112" w:name="_Toc10992"/>
      <w:bookmarkStart w:id="113" w:name="_Toc32740"/>
      <w:r>
        <w:rPr>
          <w:rFonts w:hint="eastAsia" w:ascii="Times New Roman" w:hAnsi="Times New Roman" w:eastAsia="楷体" w:cs="Times New Roman"/>
          <w:b/>
          <w:color w:val="auto"/>
          <w:kern w:val="2"/>
          <w:sz w:val="32"/>
          <w:szCs w:val="32"/>
          <w:lang w:val="en-US" w:eastAsia="zh-CN"/>
        </w:rPr>
        <w:t>2</w:t>
      </w:r>
      <w:r>
        <w:rPr>
          <w:rFonts w:hint="default" w:ascii="Times New Roman" w:hAnsi="Times New Roman" w:eastAsia="楷体" w:cs="Times New Roman"/>
          <w:b/>
          <w:color w:val="auto"/>
          <w:kern w:val="2"/>
          <w:sz w:val="32"/>
          <w:szCs w:val="32"/>
          <w:lang w:eastAsia="zh-CN"/>
        </w:rPr>
        <w:t xml:space="preserve">. </w:t>
      </w:r>
      <w:bookmarkEnd w:id="110"/>
      <w:bookmarkEnd w:id="111"/>
      <w:bookmarkEnd w:id="112"/>
      <w:r>
        <w:rPr>
          <w:rFonts w:hint="default" w:ascii="Times New Roman" w:hAnsi="Times New Roman" w:eastAsia="楷体" w:cs="Times New Roman"/>
          <w:b/>
          <w:color w:val="auto"/>
          <w:kern w:val="2"/>
          <w:sz w:val="32"/>
          <w:szCs w:val="32"/>
          <w:lang w:eastAsia="zh-CN"/>
        </w:rPr>
        <w:t xml:space="preserve">Intellectual Property Law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s Labor Policy</w:t>
      </w:r>
      <w:bookmarkEnd w:id="113"/>
    </w:p>
    <w:p w14:paraId="2429B1AD">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Tang, XY (Tang, Xiyin)1</w:t>
      </w:r>
    </w:p>
    <w:p w14:paraId="253BEC95">
      <w:pPr>
        <w:spacing w:before="120" w:beforeLines="50" w:after="120" w:afterLines="50" w:line="360" w:lineRule="auto"/>
        <w:jc w:val="both"/>
        <w:rPr>
          <w:rFonts w:hint="eastAsia" w:ascii="Times New Roman" w:hAnsi="Times New Roman" w:eastAsia="楷体" w:cs="Times New Roman"/>
          <w:b w:val="0"/>
          <w:bCs w:val="0"/>
          <w:sz w:val="22"/>
          <w:szCs w:val="22"/>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2"/>
          <w:szCs w:val="22"/>
          <w:lang w:val="en-US" w:eastAsia="zh-CN"/>
        </w:rPr>
        <w:t>1. Univ Calif Los Angeles, Sch Law, Law, Los Angeles, CA 90024 USA</w:t>
      </w:r>
    </w:p>
    <w:p w14:paraId="3FD01DA8">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Intellectual property law has long been the law of creation, not creators. The dominant utilitarian framework (and alternate ones like Lockean and personhood justifications) consider the creator almost exclusively by reference to their creative outputs. These innovation-first, output-maximization frameworks have increased concentration among IP firms and deepened inequality in how IP's economic rewards are distributed among creators. The existing frameworks simply do not have much to say about such pressing issues as authorial bargaining power, wage and economic inequality in the marketplace for creative works, and intensifying corporate concentration amongst dominant IP holders. Furthermore, the existing frameworks' almost single-minded focus on outputs no longer holds up in the age of artificial intelligence, which renders creative output instantaneous and near-infinite-while threatening to reshape the landscape of creative labor as we know it. This Article advocates for a new, alternate framework, one that highlights how IP, much like labor law, has long acted as an allocator of rights in property and capital between individuals and firms. If IP, in practice, has acted like labor law in facilitating the transfer of work from creative laborers to dominant IP firms, then IP theory, too, should do more than focus singularly on outputs-it should also address these input-based, supply-side harms. To the extent that there have been strains of more creator-focused theories throughout the IP doctrine and literature, they have, variously, argued for creation as either a solitary act of genius or collective, democratic meaning-making. This Article purposefully uses the word "labor" in opposition to such romanticized notions: It argues instead for a framework of creation as wage labor, as both the means by which large IP firms extract their value and also, potentially, as capital's most potent resisting force.</w:t>
      </w:r>
    </w:p>
    <w:p w14:paraId="70CD5526">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ind w:left="0" w:firstLine="0" w:firstLineChars="0"/>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Copyright; Definition; Innovation; Expression; Antitrust; Economy; Rights; Work; Act</w:t>
      </w:r>
    </w:p>
    <w:p w14:paraId="48E76C3F">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（来源：NEW YORK UNIVERSITY LAW REVIEW. Volume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100</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Issue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1</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Page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62-122</w:t>
      </w:r>
      <w:r>
        <w:rPr>
          <w:rFonts w:hint="eastAsia" w:ascii="Times New Roman" w:hAnsi="Times New Roman" w:eastAsia="楷体" w:cs="Times New Roman"/>
          <w:color w:val="0070C0"/>
          <w:sz w:val="21"/>
          <w:szCs w:val="21"/>
          <w:lang w:val="en-US" w:eastAsia="zh-CN"/>
        </w:rPr>
        <w:t>. Apr</w:t>
      </w:r>
      <w:r>
        <w:rPr>
          <w:rFonts w:hint="default" w:ascii="Times New Roman" w:hAnsi="Times New Roman" w:eastAsia="楷体" w:cs="Times New Roman"/>
          <w:color w:val="0070C0"/>
          <w:sz w:val="21"/>
          <w:szCs w:val="21"/>
          <w:lang w:eastAsia="zh-CN"/>
        </w:rPr>
        <w:t xml:space="preserve"> 2025）</w:t>
      </w:r>
    </w:p>
    <w:p w14:paraId="301025B2">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4" w:name="_Toc20189"/>
      <w:bookmarkStart w:id="115" w:name="_Toc249"/>
      <w:bookmarkStart w:id="116" w:name="_Toc9883"/>
      <w:bookmarkStart w:id="117" w:name="_Toc30854"/>
      <w:r>
        <w:rPr>
          <w:rFonts w:hint="eastAsia" w:ascii="Times New Roman" w:hAnsi="Times New Roman" w:eastAsia="楷体" w:cs="Times New Roman"/>
          <w:b/>
          <w:color w:val="auto"/>
          <w:kern w:val="2"/>
          <w:sz w:val="32"/>
          <w:szCs w:val="32"/>
          <w:lang w:val="en-US" w:eastAsia="zh-CN"/>
        </w:rPr>
        <w:t>3</w:t>
      </w:r>
      <w:r>
        <w:rPr>
          <w:rFonts w:hint="default" w:ascii="Times New Roman" w:hAnsi="Times New Roman" w:eastAsia="楷体" w:cs="Times New Roman"/>
          <w:b/>
          <w:color w:val="auto"/>
          <w:kern w:val="2"/>
          <w:sz w:val="32"/>
          <w:szCs w:val="32"/>
          <w:lang w:eastAsia="zh-CN"/>
        </w:rPr>
        <w:t xml:space="preserve">. </w:t>
      </w:r>
      <w:bookmarkEnd w:id="114"/>
      <w:bookmarkEnd w:id="115"/>
      <w:r>
        <w:rPr>
          <w:rFonts w:hint="default" w:ascii="Times New Roman" w:hAnsi="Times New Roman" w:eastAsia="楷体" w:cs="Times New Roman"/>
          <w:b/>
          <w:color w:val="auto"/>
          <w:kern w:val="2"/>
          <w:sz w:val="32"/>
          <w:szCs w:val="32"/>
          <w:lang w:eastAsia="zh-CN"/>
        </w:rPr>
        <w:t xml:space="preserve">Fair Use </w:t>
      </w:r>
      <w:r>
        <w:rPr>
          <w:rFonts w:hint="eastAsia" w:ascii="Times New Roman" w:hAnsi="Times New Roman" w:eastAsia="楷体" w:cs="Times New Roman"/>
          <w:b/>
          <w:color w:val="auto"/>
          <w:kern w:val="2"/>
          <w:sz w:val="32"/>
          <w:szCs w:val="32"/>
          <w:lang w:val="en-US" w:eastAsia="zh-CN"/>
        </w:rPr>
        <w:t>o</w:t>
      </w:r>
      <w:r>
        <w:rPr>
          <w:rFonts w:hint="default" w:ascii="Times New Roman" w:hAnsi="Times New Roman" w:eastAsia="楷体" w:cs="Times New Roman"/>
          <w:b/>
          <w:color w:val="auto"/>
          <w:kern w:val="2"/>
          <w:sz w:val="32"/>
          <w:szCs w:val="32"/>
          <w:lang w:eastAsia="zh-CN"/>
        </w:rPr>
        <w:t xml:space="preserve">f Trademarks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eastAsia="zh-CN"/>
        </w:rPr>
        <w:t xml:space="preserve">n Chinese Law: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 xml:space="preserve"> Daunting Defence </w:t>
      </w:r>
      <w:r>
        <w:rPr>
          <w:rFonts w:hint="eastAsia" w:ascii="Times New Roman" w:hAnsi="Times New Roman" w:eastAsia="楷体" w:cs="Times New Roman"/>
          <w:b/>
          <w:color w:val="auto"/>
          <w:kern w:val="2"/>
          <w:sz w:val="32"/>
          <w:szCs w:val="32"/>
          <w:lang w:val="en-US" w:eastAsia="zh-CN"/>
        </w:rPr>
        <w:t>t</w:t>
      </w:r>
      <w:r>
        <w:rPr>
          <w:rFonts w:hint="default" w:ascii="Times New Roman" w:hAnsi="Times New Roman" w:eastAsia="楷体" w:cs="Times New Roman"/>
          <w:b/>
          <w:color w:val="auto"/>
          <w:kern w:val="2"/>
          <w:sz w:val="32"/>
          <w:szCs w:val="32"/>
          <w:lang w:eastAsia="zh-CN"/>
        </w:rPr>
        <w:t>o Trademark Infringement</w:t>
      </w:r>
      <w:bookmarkEnd w:id="116"/>
    </w:p>
    <w:p w14:paraId="5F68ADB7">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Shujie Feng</w:t>
      </w:r>
    </w:p>
    <w:p w14:paraId="6F154632">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Fair use is a common exception to trademark rights in national laws. Although it is a widely recognized illustrative example of exceptions within Article 17 of the TRIP Agreement, practice in national law often requires supplementary mechanisms that can appropriately balance the interests between two opposing parties. This article reviews the burden of proof for defendants, the methods of applying law by courts and the balancing of interests between trademark owners and third parties regarding fair use in Chinese law. The analysis of these procedural and substantive law issues shows that fair use is by no means an easy defence to invoke. The mechanisms for applying the relevant law need to be improved due to the intrinsic link between the elements for determining trademark infringement and the elements defining fair use. Doctrines on the functions of a trademark could be used to better balance the interest of parties in determining fair use of a trademark.</w:t>
      </w:r>
    </w:p>
    <w:p w14:paraId="2E43843E">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Trademark fair use; Descriptive fair use; Nominative fair use; Chinese Trademark Law; Exception to trademark rights; Trademark infringement defence</w:t>
      </w:r>
    </w:p>
    <w:p w14:paraId="3C039545">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（来源：QUEEN MARY JOURNAL OF INTELLECTUAL PROPERTY.</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Volume 15. Issue</w:t>
      </w:r>
      <w:r>
        <w:rPr>
          <w:rFonts w:hint="eastAsia" w:ascii="Times New Roman" w:hAnsi="Times New Roman" w:eastAsia="楷体" w:cs="Times New Roman"/>
          <w:color w:val="0070C0"/>
          <w:sz w:val="21"/>
          <w:szCs w:val="21"/>
          <w:lang w:val="en-US" w:eastAsia="zh-CN"/>
        </w:rPr>
        <w:t xml:space="preserve"> 2</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 xml:space="preserve">Page </w:t>
      </w:r>
      <w:r>
        <w:rPr>
          <w:rFonts w:hint="eastAsia" w:ascii="Times New Roman" w:hAnsi="Times New Roman" w:eastAsia="楷体" w:cs="Times New Roman"/>
          <w:color w:val="0070C0"/>
          <w:sz w:val="21"/>
          <w:szCs w:val="21"/>
          <w:lang w:val="en-US" w:eastAsia="zh-CN"/>
        </w:rPr>
        <w:t>196</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218</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 xml:space="preserve"> Apr</w:t>
      </w:r>
      <w:r>
        <w:rPr>
          <w:rFonts w:hint="default" w:ascii="Times New Roman" w:hAnsi="Times New Roman" w:eastAsia="楷体" w:cs="Times New Roman"/>
          <w:color w:val="0070C0"/>
          <w:sz w:val="21"/>
          <w:szCs w:val="21"/>
          <w:lang w:eastAsia="zh-CN"/>
        </w:rPr>
        <w:t xml:space="preserve"> 2025</w:t>
      </w:r>
      <w:r>
        <w:rPr>
          <w:rFonts w:hint="eastAsia" w:ascii="Times New Roman" w:hAnsi="Times New Roman" w:eastAsia="楷体" w:cs="Times New Roman"/>
          <w:color w:val="0070C0"/>
          <w:sz w:val="21"/>
          <w:szCs w:val="21"/>
          <w:lang w:val="en-US" w:eastAsia="zh-CN"/>
        </w:rPr>
        <w:t>）</w:t>
      </w:r>
    </w:p>
    <w:bookmarkEnd w:id="117"/>
    <w:p w14:paraId="6606493A">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18" w:name="_Toc20348"/>
      <w:bookmarkStart w:id="119" w:name="_Toc22842"/>
      <w:bookmarkStart w:id="120" w:name="_Toc29174"/>
      <w:bookmarkStart w:id="121" w:name="_Toc12984"/>
      <w:r>
        <w:rPr>
          <w:rFonts w:hint="eastAsia" w:ascii="Times New Roman" w:hAnsi="Times New Roman" w:eastAsia="楷体" w:cs="Times New Roman"/>
          <w:b/>
          <w:color w:val="auto"/>
          <w:kern w:val="2"/>
          <w:sz w:val="32"/>
          <w:szCs w:val="32"/>
          <w:lang w:val="en-US" w:eastAsia="zh-CN"/>
        </w:rPr>
        <w:t>4</w:t>
      </w:r>
      <w:r>
        <w:rPr>
          <w:rFonts w:hint="default" w:ascii="Times New Roman" w:hAnsi="Times New Roman" w:eastAsia="楷体" w:cs="Times New Roman"/>
          <w:b/>
          <w:color w:val="auto"/>
          <w:kern w:val="2"/>
          <w:sz w:val="32"/>
          <w:szCs w:val="32"/>
          <w:lang w:eastAsia="zh-CN"/>
        </w:rPr>
        <w:t xml:space="preserve">. </w:t>
      </w:r>
      <w:bookmarkEnd w:id="118"/>
      <w:bookmarkEnd w:id="119"/>
      <w:r>
        <w:rPr>
          <w:rFonts w:hint="default" w:ascii="Times New Roman" w:hAnsi="Times New Roman" w:eastAsia="楷体" w:cs="Times New Roman"/>
          <w:b/>
          <w:color w:val="auto"/>
          <w:kern w:val="2"/>
          <w:sz w:val="32"/>
          <w:szCs w:val="32"/>
          <w:lang w:eastAsia="zh-CN"/>
        </w:rPr>
        <w:t>Does Pharma Need Patents?</w:t>
      </w:r>
      <w:bookmarkEnd w:id="120"/>
    </w:p>
    <w:p w14:paraId="3943FCD4">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Syed, T (Syed, Talha)1</w:t>
      </w:r>
    </w:p>
    <w:p w14:paraId="53DF810F">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Univ Calif Berkeley, Sch Law, Berkeley, CA 94720 USA</w:t>
      </w:r>
    </w:p>
    <w:p w14:paraId="071AA299">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Pharmaceuticals is the sector most widely thought to be in need of strong patent protection in order to sustain a robust level of innovative activity. This Feature comprehensively seeks to revise that assessment. It argues that a proper understanding of the actual informational resources at play in drugs reveals that pharmaceutical innovation can, significantly does, and entirely should proceed without any role played by patents. The foundational plank of the argument is that innovation in pharmaceuticals consists of not one but two distinct information goods: (1) knowledge of a chemical or biological compound (the "compound information good"), and (2) knowledge of a compound's safety and efficacy for use in humans, as validated by clinical-trial data (the "data information good"). It is the latter information good, not the former, that is both the driver of the economics in this sector and the apt focal point of innovation-policy rules. Indeed, a close examination of how the doctrines of patent law map onto the pipeline of pharmaceutical innovation reveals a set of radically sector-specific doctrines that confer little protection during the preclinical research that generates the compound information good, contrary to a common view. Meanwhile, for the clinical testing that generates the data information good, revised regulatory-exclusivity rules can and entirely should suffice. Indeed, the protection presently afforded this good by patents is indirect, incomplete, and-owing to a basic misalignment between the patent system's focus and sensible aims for innovation policy in this sector-haphazard and highly costly. Consequently, simply by phasing out patent protection for drugs and replacing it with a revised form of regulatory exclusivity, we would reap large gains in social welfare: better-tailored incentives, reduced access and duplication costs, and significantly curbed wastes from gaming of the present system. Many of these costs stem from "evergreening" practices and "me-too" drugs, which have both been the subject of sharp criticism. The present analysis offers a deeper diagnosis of the causes and extent of these problems, and it proposes more effective, better-tailored solutions. This same analysis should also reorient broader debates in patent theory and innovation policy more generally by revising our understanding of the special case posed by drugs for innovation-policy support. The conventional view that pharma presents an especially strong case for patent protection turns out to be triply wrong. First, the innovation taking pride of place in judicial and scholarly attention-the compound information good-presents no special case for patents. Second, the innovation that does present a strong case for innovation-policy support-the data information good-is both sidelined by the patent system and in any case ill-suited for patent protection. Thus, the special case presented by pharma is not for patents but for an alternative innovation-policy intervention. Finally, the basis of that special case for innovation-policy support lies in a regulatory regime rather than in any generalizable economic or technological features of drugs.</w:t>
      </w:r>
    </w:p>
    <w:p w14:paraId="349CDBD9">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Research-and-development; Intellectual-property; Pharmaceutical-industry; Economic-analysis; Drug discovery; Entry rates; Innovation; Information; Exclusivity; Incentives</w:t>
      </w:r>
    </w:p>
    <w:p w14:paraId="2C0FACFA">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（来源：YALE LAW JOURNAL. Volume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1</w:t>
      </w:r>
      <w:r>
        <w:rPr>
          <w:rFonts w:hint="eastAsia" w:ascii="Times New Roman" w:hAnsi="Times New Roman" w:eastAsia="楷体" w:cs="Times New Roman"/>
          <w:color w:val="0070C0"/>
          <w:sz w:val="21"/>
          <w:szCs w:val="21"/>
          <w:lang w:val="en-US" w:eastAsia="zh-CN"/>
        </w:rPr>
        <w:t>34</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Issue</w:t>
      </w:r>
      <w:r>
        <w:rPr>
          <w:rFonts w:hint="eastAsia" w:ascii="Times New Roman" w:hAnsi="Times New Roman" w:eastAsia="楷体" w:cs="Times New Roman"/>
          <w:color w:val="0070C0"/>
          <w:sz w:val="21"/>
          <w:szCs w:val="21"/>
          <w:lang w:val="en-US" w:eastAsia="zh-CN"/>
        </w:rPr>
        <w:t xml:space="preserve"> 6</w:t>
      </w: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 xml:space="preserve">Page 2038-2121. </w:t>
      </w:r>
      <w:r>
        <w:rPr>
          <w:rFonts w:hint="eastAsia" w:ascii="Times New Roman" w:hAnsi="Times New Roman" w:eastAsia="楷体" w:cs="Times New Roman"/>
          <w:color w:val="0070C0"/>
          <w:sz w:val="21"/>
          <w:szCs w:val="21"/>
          <w:lang w:val="en-US" w:eastAsia="zh-CN"/>
        </w:rPr>
        <w:t xml:space="preserve">Apr </w:t>
      </w:r>
      <w:r>
        <w:rPr>
          <w:rFonts w:hint="default" w:ascii="Times New Roman" w:hAnsi="Times New Roman" w:eastAsia="楷体" w:cs="Times New Roman"/>
          <w:color w:val="0070C0"/>
          <w:sz w:val="21"/>
          <w:szCs w:val="21"/>
          <w:lang w:eastAsia="zh-CN"/>
        </w:rPr>
        <w:t>2025</w:t>
      </w:r>
      <w:r>
        <w:rPr>
          <w:rFonts w:hint="eastAsia" w:ascii="Times New Roman" w:hAnsi="Times New Roman" w:eastAsia="楷体" w:cs="Times New Roman"/>
          <w:color w:val="0070C0"/>
          <w:sz w:val="21"/>
          <w:szCs w:val="21"/>
          <w:lang w:val="en-US" w:eastAsia="zh-CN"/>
        </w:rPr>
        <w:t>）</w:t>
      </w:r>
    </w:p>
    <w:bookmarkEnd w:id="121"/>
    <w:p w14:paraId="7612CE25">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22" w:name="_Toc3107"/>
      <w:bookmarkStart w:id="123" w:name="_Toc32124"/>
      <w:bookmarkStart w:id="124" w:name="_Toc5460"/>
      <w:r>
        <w:rPr>
          <w:rFonts w:hint="eastAsia" w:ascii="Times New Roman" w:hAnsi="Times New Roman" w:eastAsia="楷体" w:cs="Times New Roman"/>
          <w:b/>
          <w:color w:val="auto"/>
          <w:kern w:val="2"/>
          <w:sz w:val="32"/>
          <w:szCs w:val="32"/>
          <w:lang w:val="en-US" w:eastAsia="zh-CN"/>
        </w:rPr>
        <w:t>5</w:t>
      </w:r>
      <w:r>
        <w:rPr>
          <w:rFonts w:hint="default" w:ascii="Times New Roman" w:hAnsi="Times New Roman" w:eastAsia="楷体" w:cs="Times New Roman"/>
          <w:b/>
          <w:color w:val="auto"/>
          <w:kern w:val="2"/>
          <w:sz w:val="32"/>
          <w:szCs w:val="32"/>
          <w:lang w:eastAsia="zh-CN"/>
        </w:rPr>
        <w:t xml:space="preserve">. </w:t>
      </w:r>
      <w:bookmarkEnd w:id="122"/>
      <w:bookmarkEnd w:id="123"/>
      <w:r>
        <w:rPr>
          <w:rFonts w:hint="default" w:ascii="Times New Roman" w:hAnsi="Times New Roman" w:eastAsia="楷体" w:cs="Times New Roman"/>
          <w:b/>
          <w:color w:val="auto"/>
          <w:kern w:val="2"/>
          <w:sz w:val="32"/>
          <w:szCs w:val="32"/>
          <w:lang w:eastAsia="zh-CN"/>
        </w:rPr>
        <w:t xml:space="preserve">Comparative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 xml:space="preserve">nalysis of </w:t>
      </w:r>
      <w:r>
        <w:rPr>
          <w:rFonts w:hint="eastAsia" w:ascii="Times New Roman" w:hAnsi="Times New Roman" w:eastAsia="楷体" w:cs="Times New Roman"/>
          <w:b/>
          <w:color w:val="auto"/>
          <w:kern w:val="2"/>
          <w:sz w:val="32"/>
          <w:szCs w:val="32"/>
          <w:lang w:val="en-US" w:eastAsia="zh-CN"/>
        </w:rPr>
        <w:t>T</w:t>
      </w:r>
      <w:r>
        <w:rPr>
          <w:rFonts w:hint="default" w:ascii="Times New Roman" w:hAnsi="Times New Roman" w:eastAsia="楷体" w:cs="Times New Roman"/>
          <w:b/>
          <w:color w:val="auto"/>
          <w:kern w:val="2"/>
          <w:sz w:val="32"/>
          <w:szCs w:val="32"/>
          <w:lang w:eastAsia="zh-CN"/>
        </w:rPr>
        <w:t xml:space="preserve">rademark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rotection in the </w:t>
      </w:r>
      <w:r>
        <w:rPr>
          <w:rFonts w:hint="eastAsia" w:ascii="Times New Roman" w:hAnsi="Times New Roman" w:eastAsia="楷体" w:cs="Times New Roman"/>
          <w:b/>
          <w:color w:val="auto"/>
          <w:kern w:val="2"/>
          <w:sz w:val="32"/>
          <w:szCs w:val="32"/>
          <w:lang w:val="en-US" w:eastAsia="zh-CN"/>
        </w:rPr>
        <w:t>M</w:t>
      </w:r>
      <w:r>
        <w:rPr>
          <w:rFonts w:hint="default" w:ascii="Times New Roman" w:hAnsi="Times New Roman" w:eastAsia="楷体" w:cs="Times New Roman"/>
          <w:b/>
          <w:color w:val="auto"/>
          <w:kern w:val="2"/>
          <w:sz w:val="32"/>
          <w:szCs w:val="32"/>
          <w:lang w:eastAsia="zh-CN"/>
        </w:rPr>
        <w:t xml:space="preserve">etaverse and </w:t>
      </w:r>
      <w:r>
        <w:rPr>
          <w:rFonts w:hint="eastAsia" w:ascii="Times New Roman" w:hAnsi="Times New Roman" w:eastAsia="楷体" w:cs="Times New Roman"/>
          <w:b/>
          <w:color w:val="auto"/>
          <w:kern w:val="2"/>
          <w:sz w:val="32"/>
          <w:szCs w:val="32"/>
          <w:lang w:val="en-US" w:eastAsia="zh-CN"/>
        </w:rPr>
        <w:t>R</w:t>
      </w:r>
      <w:r>
        <w:rPr>
          <w:rFonts w:hint="default" w:ascii="Times New Roman" w:hAnsi="Times New Roman" w:eastAsia="楷体" w:cs="Times New Roman"/>
          <w:b/>
          <w:color w:val="auto"/>
          <w:kern w:val="2"/>
          <w:sz w:val="32"/>
          <w:szCs w:val="32"/>
          <w:lang w:eastAsia="zh-CN"/>
        </w:rPr>
        <w:t xml:space="preserve">egistration of </w:t>
      </w:r>
      <w:r>
        <w:rPr>
          <w:rFonts w:hint="eastAsia" w:ascii="Times New Roman" w:hAnsi="Times New Roman" w:eastAsia="楷体" w:cs="Times New Roman"/>
          <w:b/>
          <w:color w:val="auto"/>
          <w:kern w:val="2"/>
          <w:sz w:val="32"/>
          <w:szCs w:val="32"/>
          <w:lang w:val="en-US" w:eastAsia="zh-CN"/>
        </w:rPr>
        <w:t>V</w:t>
      </w:r>
      <w:r>
        <w:rPr>
          <w:rFonts w:hint="default" w:ascii="Times New Roman" w:hAnsi="Times New Roman" w:eastAsia="楷体" w:cs="Times New Roman"/>
          <w:b/>
          <w:color w:val="auto"/>
          <w:kern w:val="2"/>
          <w:sz w:val="32"/>
          <w:szCs w:val="32"/>
          <w:lang w:eastAsia="zh-CN"/>
        </w:rPr>
        <w:t xml:space="preserve">irtual </w:t>
      </w:r>
      <w:r>
        <w:rPr>
          <w:rFonts w:hint="eastAsia" w:ascii="Times New Roman" w:hAnsi="Times New Roman" w:eastAsia="楷体" w:cs="Times New Roman"/>
          <w:b/>
          <w:color w:val="auto"/>
          <w:kern w:val="2"/>
          <w:sz w:val="32"/>
          <w:szCs w:val="32"/>
          <w:lang w:val="en-US" w:eastAsia="zh-CN"/>
        </w:rPr>
        <w:t>G</w:t>
      </w:r>
      <w:r>
        <w:rPr>
          <w:rFonts w:hint="default" w:ascii="Times New Roman" w:hAnsi="Times New Roman" w:eastAsia="楷体" w:cs="Times New Roman"/>
          <w:b/>
          <w:color w:val="auto"/>
          <w:kern w:val="2"/>
          <w:sz w:val="32"/>
          <w:szCs w:val="32"/>
          <w:lang w:eastAsia="zh-CN"/>
        </w:rPr>
        <w:t>oods and NFTs</w:t>
      </w:r>
      <w:bookmarkEnd w:id="124"/>
    </w:p>
    <w:p w14:paraId="13EBA61A">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Jon, W (Jon, WooJung)1 Park, SP (Park, Sung-Pil)1</w:t>
      </w:r>
    </w:p>
    <w:p w14:paraId="01D821BD">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2"/>
          <w:szCs w:val="22"/>
          <w:lang w:val="en-US" w:eastAsia="zh-CN"/>
        </w:rPr>
        <w:t xml:space="preserve">1. </w:t>
      </w:r>
      <w:r>
        <w:rPr>
          <w:rFonts w:hint="eastAsia" w:ascii="Times New Roman" w:hAnsi="Times New Roman" w:eastAsia="楷体" w:cs="Times New Roman"/>
          <w:b w:val="0"/>
          <w:bCs w:val="0"/>
          <w:sz w:val="21"/>
          <w:szCs w:val="21"/>
          <w:lang w:val="en-US" w:eastAsia="zh-CN"/>
        </w:rPr>
        <w:t>Korea Adv Inst Sci &amp; Technol, Grad Sch Future Strategy, Daejeon, South Korea</w:t>
      </w:r>
    </w:p>
    <w:p w14:paraId="7A59EA0C">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This study presents a comparative analysis of trademark protection in the metaverse and the registration of virtual goods and non-fungible tokens (NFTs) across three distinct legal systems: those of the United States, the United Kingdom, and South Korea. Drawing on recent case law and evolving administrative guidelines, this study examines how traditional trademark doctrines-such as the likelihood-of-confusion standard in the U.S. under the Lanham Act, source-identifying function under the UK Trade Marks Act 1994, and proactive legislative reforms implemented by the Korean Intellectual Property Office-are being adapted to address the challenges posed by digital and virtual environments. Specifically, this study analyzes landmark cases such as Herme`s International v. Rothschild and Yuga Labs, Inc. v. Ripps, which illustrate the extension of trademark protection to NFTs and other digital assets, as well as the interplay between trademark rights and freedom of expression. It also evaluates recent updates to international classification frameworks-including the 2024 Nice Classification and the Madrid Protocol-and discusses their implications for ensuring uniformity and effective enforcement of trademarks in a borderless digital market. The findings reveal that while each jurisdiction applies its own legal traditions to metaverse trademark disputes, all share a common policy objective: to prevent consumer confusion and safeguard brand integrity in an increasingly digital economy. Ultimately, the study advocates for proactive registration of trademarks as virtual goods and NFTs to streamline enforcement and enhance legal certainty, thereby fostering innovation and facilitating global trade in virtual environments.</w:t>
      </w:r>
    </w:p>
    <w:p w14:paraId="2D78E7B2">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Trademark; Metaverse; Registration of virtual goods; NFT; Madrid Protocol; 2024 Nice Classification</w:t>
      </w:r>
    </w:p>
    <w:p w14:paraId="7E7BE3EF">
      <w:pPr>
        <w:wordWrap w:val="0"/>
        <w:spacing w:before="120" w:beforeLines="50" w:after="120" w:afterLines="50" w:line="360" w:lineRule="auto"/>
        <w:jc w:val="both"/>
        <w:rPr>
          <w:rFonts w:hint="eastAsia" w:ascii="Times New Roman" w:hAnsi="Times New Roman" w:eastAsia="微软雅黑" w:cs="微软雅黑"/>
          <w:b/>
          <w:bCs/>
          <w:color w:val="95B3D7"/>
          <w:szCs w:val="21"/>
          <w:lang w:eastAsia="zh-CN"/>
        </w:rPr>
      </w:pPr>
      <w:r>
        <w:rPr>
          <w:rFonts w:hint="default" w:ascii="Times New Roman" w:hAnsi="Times New Roman" w:eastAsia="楷体" w:cs="Times New Roman"/>
          <w:color w:val="0070C0"/>
          <w:sz w:val="21"/>
          <w:szCs w:val="21"/>
          <w:lang w:eastAsia="zh-CN"/>
        </w:rPr>
        <w:t>（来源：COMPUTER LAW &amp; SECURITY REVIEW. Volume</w:t>
      </w:r>
      <w:r>
        <w:rPr>
          <w:rFonts w:hint="eastAsia" w:ascii="Times New Roman" w:hAnsi="Times New Roman" w:eastAsia="楷体" w:cs="Times New Roman"/>
          <w:color w:val="0070C0"/>
          <w:sz w:val="21"/>
          <w:szCs w:val="21"/>
          <w:lang w:val="en-US" w:eastAsia="zh-CN"/>
        </w:rPr>
        <w:t xml:space="preserve"> 57. Jul 2025</w:t>
      </w:r>
      <w:r>
        <w:rPr>
          <w:rFonts w:hint="default" w:ascii="Times New Roman" w:hAnsi="Times New Roman" w:eastAsia="楷体" w:cs="Times New Roman"/>
          <w:color w:val="0070C0"/>
          <w:sz w:val="21"/>
          <w:szCs w:val="21"/>
          <w:lang w:eastAsia="zh-CN"/>
        </w:rPr>
        <w:t>）</w:t>
      </w:r>
    </w:p>
    <w:p w14:paraId="799FCDB7">
      <w:pPr>
        <w:rPr>
          <w:rFonts w:hint="eastAsia" w:ascii="Times New Roman" w:hAnsi="Times New Roman" w:eastAsia="楷体" w:cs="Times New Roman"/>
          <w:color w:val="0070C0"/>
          <w:sz w:val="21"/>
          <w:szCs w:val="21"/>
          <w:lang w:eastAsia="zh-CN"/>
        </w:rPr>
      </w:pPr>
      <w:bookmarkStart w:id="125" w:name="_Toc105607370"/>
      <w:bookmarkStart w:id="126" w:name="_Toc990"/>
      <w:r>
        <w:rPr>
          <w:rFonts w:hint="default" w:ascii="Times New Roman" w:hAnsi="Times New Roman" w:eastAsia="楷体" w:cs="Times New Roman"/>
          <w:color w:val="0070C0"/>
          <w:sz w:val="21"/>
          <w:szCs w:val="21"/>
          <w:lang w:eastAsia="zh-CN"/>
        </w:rPr>
        <w:br w:type="page"/>
      </w:r>
    </w:p>
    <w:bookmarkEnd w:id="125"/>
    <w:bookmarkEnd w:id="126"/>
    <w:p w14:paraId="69417222">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lang w:val="en-US" w:eastAsia="zh-CN" w:bidi="ar-SA"/>
        </w:rPr>
      </w:pPr>
      <w:bookmarkStart w:id="127" w:name="_Toc30103"/>
      <w:bookmarkStart w:id="128" w:name="_Toc27681"/>
      <w:bookmarkStart w:id="129" w:name="_Toc3868"/>
      <w:bookmarkStart w:id="130" w:name="_Toc9765"/>
      <w:bookmarkStart w:id="131" w:name="_Toc16243"/>
      <w:bookmarkStart w:id="132" w:name="_Toc20546"/>
      <w:r>
        <w:rPr>
          <w:rFonts w:hint="eastAsia" w:ascii="Times New Roman" w:hAnsi="Times New Roman" w:eastAsia="仿宋" w:cs="Times New Roman"/>
          <w:b/>
          <w:bCs/>
          <w:color w:val="376092" w:themeColor="accent1" w:themeShade="BF"/>
          <w:kern w:val="44"/>
          <w:sz w:val="44"/>
          <w:szCs w:val="44"/>
          <w:lang w:val="en-US" w:eastAsia="zh-CN" w:bidi="ar-SA"/>
        </w:rPr>
        <w:t>外文管理</w:t>
      </w:r>
      <w:r>
        <w:rPr>
          <w:rFonts w:ascii="Times New Roman" w:hAnsi="Times New Roman" w:eastAsia="仿宋" w:cs="Times New Roman"/>
          <w:b/>
          <w:bCs/>
          <w:color w:val="376092" w:themeColor="accent1" w:themeShade="BF"/>
          <w:kern w:val="44"/>
          <w:sz w:val="44"/>
          <w:szCs w:val="44"/>
          <w:lang w:val="en-US" w:eastAsia="zh-CN" w:bidi="ar-SA"/>
        </w:rPr>
        <w:t>类核心期刊知识产权文章摘编</w:t>
      </w:r>
      <w:bookmarkEnd w:id="127"/>
      <w:bookmarkEnd w:id="128"/>
      <w:bookmarkEnd w:id="129"/>
      <w:bookmarkEnd w:id="130"/>
      <w:bookmarkEnd w:id="131"/>
      <w:bookmarkEnd w:id="132"/>
    </w:p>
    <w:p w14:paraId="383408ED">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外文管理期刊</w:t>
      </w:r>
    </w:p>
    <w:p w14:paraId="663C28BE">
      <w:pPr>
        <w:widowControl/>
        <w:autoSpaceDE/>
        <w:autoSpaceDN/>
        <w:spacing w:before="800" w:after="200" w:line="480" w:lineRule="auto"/>
        <w:jc w:val="center"/>
        <w:outlineLvl w:val="1"/>
        <w:rPr>
          <w:rFonts w:hint="default" w:ascii="Times New Roman" w:hAnsi="Times New Roman" w:eastAsia="楷体" w:cs="Times New Roman"/>
          <w:b/>
          <w:color w:val="000000"/>
          <w:kern w:val="2"/>
          <w:sz w:val="32"/>
          <w:szCs w:val="32"/>
          <w:lang w:eastAsia="zh-CN"/>
        </w:rPr>
      </w:pPr>
      <w:bookmarkStart w:id="133" w:name="_Toc21284"/>
      <w:bookmarkStart w:id="134" w:name="_Toc29179"/>
      <w:bookmarkStart w:id="135" w:name="_Toc22925"/>
      <w:bookmarkStart w:id="136" w:name="_Toc105607377"/>
      <w:r>
        <w:rPr>
          <w:rFonts w:hint="default" w:ascii="Times New Roman" w:hAnsi="Times New Roman" w:eastAsia="楷体" w:cs="Times New Roman"/>
          <w:b/>
          <w:color w:val="000000"/>
          <w:kern w:val="2"/>
          <w:sz w:val="32"/>
          <w:szCs w:val="32"/>
          <w:lang w:eastAsia="zh-CN"/>
        </w:rPr>
        <w:t xml:space="preserve">1. </w:t>
      </w:r>
      <w:bookmarkEnd w:id="133"/>
      <w:bookmarkEnd w:id="134"/>
      <w:r>
        <w:rPr>
          <w:rFonts w:hint="default" w:ascii="Times New Roman" w:hAnsi="Times New Roman" w:eastAsia="楷体" w:cs="Times New Roman"/>
          <w:b/>
          <w:color w:val="000000"/>
          <w:kern w:val="2"/>
          <w:sz w:val="32"/>
          <w:szCs w:val="32"/>
          <w:lang w:eastAsia="zh-CN"/>
        </w:rPr>
        <w:t xml:space="preserve">Trade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 xml:space="preserve">ecrets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rotection and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eastAsia="zh-CN"/>
        </w:rPr>
        <w:t xml:space="preserve">mployment of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ublic </w:t>
      </w:r>
      <w:r>
        <w:rPr>
          <w:rFonts w:hint="eastAsia" w:ascii="Times New Roman" w:hAnsi="Times New Roman" w:eastAsia="楷体" w:cs="Times New Roman"/>
          <w:b/>
          <w:color w:val="000000"/>
          <w:kern w:val="2"/>
          <w:sz w:val="32"/>
          <w:szCs w:val="32"/>
          <w:lang w:val="en-US" w:eastAsia="zh-CN"/>
        </w:rPr>
        <w:t>F</w:t>
      </w:r>
      <w:r>
        <w:rPr>
          <w:rFonts w:hint="default" w:ascii="Times New Roman" w:hAnsi="Times New Roman" w:eastAsia="楷体" w:cs="Times New Roman"/>
          <w:b/>
          <w:color w:val="000000"/>
          <w:kern w:val="2"/>
          <w:sz w:val="32"/>
          <w:szCs w:val="32"/>
          <w:lang w:eastAsia="zh-CN"/>
        </w:rPr>
        <w:t>irms: Evidence from the Uniform Trade Secrets Act</w:t>
      </w:r>
      <w:bookmarkEnd w:id="135"/>
    </w:p>
    <w:p w14:paraId="19F0D963">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lang w:val="en-US" w:eastAsia="zh-CN"/>
        </w:rPr>
        <w:t>Liu, AY (Liu, Andrew Yizhou)1</w:t>
      </w:r>
    </w:p>
    <w:p w14:paraId="2712EC02">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lang w:val="en-US" w:eastAsia="zh-CN"/>
        </w:rPr>
        <w:t xml:space="preserve">1. </w:t>
      </w:r>
      <w:r>
        <w:rPr>
          <w:rFonts w:hint="eastAsia" w:ascii="Times New Roman" w:hAnsi="Times New Roman" w:eastAsia="楷体" w:cs="Times New Roman"/>
          <w:b w:val="0"/>
          <w:bCs w:val="0"/>
          <w:sz w:val="21"/>
          <w:szCs w:val="21"/>
          <w:lang w:val="en-US" w:eastAsia="zh-CN"/>
        </w:rPr>
        <w:t>Univ Arkansas, Dept Econ, WCOB 410, Fayetteville, AR 72701 USA</w:t>
      </w:r>
    </w:p>
    <w:p w14:paraId="3EDD69F7">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I demonstrate that the adoption of the Uniform Trade Secrets Act (UTSA) results in a 5.1% increase in employment among public firms in Compustat. The effects are concentrated in firms with below-median initial employment, higher debt costs, and greater potential for knowledge spillovers. R&amp;D expenditures and the accumulation of intangible assets emerge as key drivers of these employment effects. An analysis of labor demand reveals a 9.4% rise in vacancy postings, particularly for skilled workers, following UTSA adoption. Counties with higher initial exposure to public firms' labor demand experience declines in unemployment rates, underscoring the UTSA's non-uniform impact on local labor markets and employment growth.</w:t>
      </w:r>
    </w:p>
    <w:p w14:paraId="3E739442">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ind w:left="0" w:firstLine="0" w:firstLine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bCs/>
          <w:sz w:val="21"/>
          <w:szCs w:val="21"/>
          <w:lang w:val="en-US" w:eastAsia="zh-CN"/>
        </w:rPr>
        <w:t>：</w:t>
      </w:r>
      <w:r>
        <w:rPr>
          <w:rFonts w:hint="eastAsia" w:ascii="Times New Roman" w:hAnsi="Times New Roman" w:eastAsia="楷体" w:cs="Times New Roman"/>
          <w:b w:val="0"/>
          <w:bCs w:val="0"/>
          <w:sz w:val="21"/>
          <w:szCs w:val="21"/>
          <w:lang w:val="en-US" w:eastAsia="zh-CN"/>
        </w:rPr>
        <w:t>Intellectual property-rights; Research-and-development; Innovation evidence; Patents; Growth; Information; Disclosure; Subsidies; Laws</w:t>
      </w:r>
    </w:p>
    <w:p w14:paraId="7446FAE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ind w:left="221" w:hanging="210" w:hangingChars="100"/>
        <w:jc w:val="both"/>
        <w:textAlignment w:val="auto"/>
        <w:rPr>
          <w:rFonts w:hint="default" w:ascii="Times New Roman" w:hAnsi="Times New Roman" w:eastAsia="楷体" w:cs="Times New Roman"/>
          <w:b/>
          <w:color w:val="000000"/>
          <w:kern w:val="2"/>
          <w:sz w:val="32"/>
          <w:szCs w:val="32"/>
          <w:lang w:val="en-US" w:eastAsia="zh-CN"/>
        </w:rPr>
      </w:pPr>
      <w:r>
        <w:rPr>
          <w:rFonts w:hint="default" w:ascii="Times New Roman" w:hAnsi="Times New Roman" w:eastAsia="楷体" w:cs="Times New Roman"/>
          <w:color w:val="0070C0"/>
          <w:sz w:val="21"/>
          <w:szCs w:val="21"/>
          <w:lang w:val="en-US" w:eastAsia="zh-CN"/>
        </w:rPr>
        <w:t>（来源：RESEARCH POLICY. Volume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54</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Issue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6</w:t>
      </w:r>
      <w:r>
        <w:rPr>
          <w:rFonts w:hint="eastAsia" w:ascii="Times New Roman" w:hAnsi="Times New Roman" w:eastAsia="楷体" w:cs="Times New Roman"/>
          <w:color w:val="0070C0"/>
          <w:sz w:val="21"/>
          <w:szCs w:val="21"/>
          <w:lang w:val="en-US" w:eastAsia="zh-CN"/>
        </w:rPr>
        <w:t>. Jul</w:t>
      </w:r>
      <w:r>
        <w:rPr>
          <w:rFonts w:hint="default" w:ascii="Times New Roman" w:hAnsi="Times New Roman" w:eastAsia="楷体" w:cs="Times New Roman"/>
          <w:color w:val="0070C0"/>
          <w:sz w:val="21"/>
          <w:szCs w:val="21"/>
          <w:lang w:val="en-US" w:eastAsia="zh-CN"/>
        </w:rPr>
        <w:t xml:space="preserve"> 2025）</w:t>
      </w:r>
    </w:p>
    <w:p w14:paraId="62C7145E">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shd w:val="clear" w:color="auto" w:fill="FFFFFF"/>
          <w:lang w:eastAsia="zh-CN"/>
        </w:rPr>
      </w:pPr>
      <w:bookmarkStart w:id="137" w:name="_Toc26096"/>
      <w:bookmarkStart w:id="138" w:name="_Toc19317"/>
      <w:bookmarkStart w:id="139" w:name="_Toc26765"/>
      <w:r>
        <w:rPr>
          <w:rFonts w:hint="default" w:ascii="Times New Roman" w:hAnsi="Times New Roman" w:eastAsia="楷体" w:cs="Times New Roman"/>
          <w:b/>
          <w:color w:val="000000"/>
          <w:kern w:val="2"/>
          <w:sz w:val="32"/>
          <w:szCs w:val="32"/>
          <w:lang w:val="en-US" w:eastAsia="zh-CN"/>
        </w:rPr>
        <w:t>2</w:t>
      </w:r>
      <w:r>
        <w:rPr>
          <w:rFonts w:hint="default" w:ascii="Times New Roman" w:hAnsi="Times New Roman" w:eastAsia="楷体" w:cs="Times New Roman"/>
          <w:b/>
          <w:color w:val="000000"/>
          <w:kern w:val="2"/>
          <w:sz w:val="32"/>
          <w:szCs w:val="32"/>
          <w:lang w:eastAsia="zh-CN"/>
        </w:rPr>
        <w:t xml:space="preserve">. </w:t>
      </w:r>
      <w:bookmarkEnd w:id="137"/>
      <w:bookmarkEnd w:id="138"/>
      <w:r>
        <w:rPr>
          <w:rFonts w:hint="default" w:ascii="Times New Roman" w:hAnsi="Times New Roman" w:eastAsia="楷体" w:cs="Times New Roman"/>
          <w:b/>
          <w:color w:val="000000"/>
          <w:kern w:val="2"/>
          <w:sz w:val="32"/>
          <w:szCs w:val="32"/>
          <w:lang w:eastAsia="zh-CN"/>
        </w:rPr>
        <w:t xml:space="preserve">How </w:t>
      </w:r>
      <w:r>
        <w:rPr>
          <w:rFonts w:hint="eastAsia" w:ascii="Times New Roman" w:hAnsi="Times New Roman" w:eastAsia="楷体" w:cs="Times New Roman"/>
          <w:b/>
          <w:color w:val="000000"/>
          <w:kern w:val="2"/>
          <w:sz w:val="32"/>
          <w:szCs w:val="32"/>
          <w:lang w:val="en-US" w:eastAsia="zh-CN"/>
        </w:rPr>
        <w:t>D</w:t>
      </w:r>
      <w:r>
        <w:rPr>
          <w:rFonts w:hint="default" w:ascii="Times New Roman" w:hAnsi="Times New Roman" w:eastAsia="楷体" w:cs="Times New Roman"/>
          <w:b/>
          <w:color w:val="000000"/>
          <w:kern w:val="2"/>
          <w:sz w:val="32"/>
          <w:szCs w:val="32"/>
          <w:lang w:eastAsia="zh-CN"/>
        </w:rPr>
        <w:t xml:space="preserve">oes R&amp;D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eastAsia="zh-CN"/>
        </w:rPr>
        <w:t xml:space="preserve">ollaboration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eastAsia="zh-CN"/>
        </w:rPr>
        <w:t xml:space="preserve">hape the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eastAsia="zh-CN"/>
        </w:rPr>
        <w:t xml:space="preserve">atent </w:t>
      </w:r>
      <w:r>
        <w:rPr>
          <w:rFonts w:hint="eastAsia" w:ascii="Times New Roman" w:hAnsi="Times New Roman" w:eastAsia="楷体" w:cs="Times New Roman"/>
          <w:b/>
          <w:color w:val="000000"/>
          <w:kern w:val="2"/>
          <w:sz w:val="32"/>
          <w:szCs w:val="32"/>
          <w:lang w:val="en-US" w:eastAsia="zh-CN"/>
        </w:rPr>
        <w:t>Q</w:t>
      </w:r>
      <w:r>
        <w:rPr>
          <w:rFonts w:hint="default" w:ascii="Times New Roman" w:hAnsi="Times New Roman" w:eastAsia="楷体" w:cs="Times New Roman"/>
          <w:b/>
          <w:color w:val="000000"/>
          <w:kern w:val="2"/>
          <w:sz w:val="32"/>
          <w:szCs w:val="32"/>
          <w:lang w:eastAsia="zh-CN"/>
        </w:rPr>
        <w:t xml:space="preserve">uality of </w:t>
      </w:r>
      <w:r>
        <w:rPr>
          <w:rFonts w:hint="eastAsia" w:ascii="Times New Roman" w:hAnsi="Times New Roman" w:eastAsia="楷体" w:cs="Times New Roman"/>
          <w:b/>
          <w:color w:val="000000"/>
          <w:kern w:val="2"/>
          <w:sz w:val="32"/>
          <w:szCs w:val="32"/>
          <w:lang w:val="en-US" w:eastAsia="zh-CN"/>
        </w:rPr>
        <w:t>U</w:t>
      </w:r>
      <w:r>
        <w:rPr>
          <w:rFonts w:hint="default" w:ascii="Times New Roman" w:hAnsi="Times New Roman" w:eastAsia="楷体" w:cs="Times New Roman"/>
          <w:b/>
          <w:color w:val="000000"/>
          <w:kern w:val="2"/>
          <w:sz w:val="32"/>
          <w:szCs w:val="32"/>
          <w:lang w:eastAsia="zh-CN"/>
        </w:rPr>
        <w:t>niversities?</w:t>
      </w:r>
      <w:bookmarkEnd w:id="139"/>
    </w:p>
    <w:p w14:paraId="059CF9F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bookmarkStart w:id="140" w:name="_Toc3029"/>
      <w:bookmarkStart w:id="141" w:name="_Toc105607373"/>
      <w:bookmarkStart w:id="142" w:name="_Toc5385"/>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Su, ZL (Su, Zulong)1 Jiang, RA (Jiang, Renai)1  Feng, C (Feng, Chun)1 Li, DM (Li, Dongmei)1</w:t>
      </w:r>
    </w:p>
    <w:p w14:paraId="739E9CA6">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Xi An Jiao Tong Univ, Sch Econ &amp; Finance, Xian, Peoples R China</w:t>
      </w:r>
    </w:p>
    <w:p w14:paraId="52C94F17">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Major innovation economies have issued varied policies to promote cross-organization research and development (R&amp;D) collaboration. This study examines the impact of R&amp;D collaboration on the quality of university patents, measured by economic lifespan and forward citations. We also distinguish between two types of R&amp;D collaboration partnerships: R&amp;D collaboration between universities, and university-industry collaborations. Using panel data from 803 undergraduate universities between 2006 and 2018, we reveal that R&amp;D collaborations significantly enhance the patent quality of Chinese universities. Moreover, different types of collaboration vary in effectiveness, with university-industry collaborations particularly boosting economic value and inter-university collaborations mainly reinforcing the technical value of patents. We also find that the positive effects of R&amp;D collaboration are more pronounced in universities with weaker academic ability, indicating the potential direction of knowledge spillover. Furthermore, the effects vary across academic disciplines. In summary, this study clarifies our understanding of the crucial role of strategic collaborations in university patenting, with implications for policymakers and university administrators.</w:t>
      </w:r>
    </w:p>
    <w:p w14:paraId="0351612D">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Knowledge creation; Industry collaboration; Absorptive-capacity; Innovation; Partnerships; Performance; Technology; Indicators; Alliances; Citations</w:t>
      </w:r>
    </w:p>
    <w:p w14:paraId="16FDF667">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（来源：JOURNAL OF TECHNOLOGY TRANSFER.</w:t>
      </w:r>
      <w:r>
        <w:rPr>
          <w:rFonts w:hint="eastAsia" w:ascii="Times New Roman" w:hAnsi="Times New Roman" w:eastAsia="楷体" w:cs="Times New Roman"/>
          <w:color w:val="0070C0"/>
          <w:sz w:val="21"/>
          <w:szCs w:val="21"/>
          <w:lang w:val="en-US" w:eastAsia="zh-CN"/>
        </w:rPr>
        <w:t xml:space="preserve"> Mar</w:t>
      </w:r>
      <w:r>
        <w:rPr>
          <w:rFonts w:hint="default" w:ascii="Times New Roman" w:hAnsi="Times New Roman" w:eastAsia="楷体" w:cs="Times New Roman"/>
          <w:color w:val="0070C0"/>
          <w:sz w:val="21"/>
          <w:szCs w:val="21"/>
          <w:lang w:val="en-US" w:eastAsia="zh-CN"/>
        </w:rPr>
        <w:t xml:space="preserve"> 2025）</w:t>
      </w:r>
    </w:p>
    <w:p w14:paraId="495143D9">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000000"/>
          <w:kern w:val="2"/>
          <w:sz w:val="32"/>
          <w:szCs w:val="32"/>
          <w:lang w:val="en-US" w:eastAsia="zh-CN"/>
        </w:rPr>
      </w:pPr>
      <w:bookmarkStart w:id="143" w:name="_Toc21385"/>
      <w:bookmarkStart w:id="144" w:name="_Toc18675"/>
      <w:bookmarkStart w:id="145" w:name="_Toc28549"/>
      <w:r>
        <w:rPr>
          <w:rFonts w:hint="default" w:ascii="Times New Roman" w:hAnsi="Times New Roman" w:eastAsia="楷体" w:cs="Times New Roman"/>
          <w:b/>
          <w:color w:val="000000"/>
          <w:kern w:val="2"/>
          <w:sz w:val="32"/>
          <w:szCs w:val="32"/>
          <w:lang w:val="en-US" w:eastAsia="zh-CN"/>
        </w:rPr>
        <w:t xml:space="preserve">3. </w:t>
      </w:r>
      <w:bookmarkEnd w:id="140"/>
      <w:bookmarkEnd w:id="141"/>
      <w:bookmarkEnd w:id="142"/>
      <w:bookmarkEnd w:id="143"/>
      <w:bookmarkEnd w:id="144"/>
      <w:r>
        <w:rPr>
          <w:rFonts w:hint="default" w:ascii="Times New Roman" w:hAnsi="Times New Roman" w:eastAsia="楷体" w:cs="Times New Roman"/>
          <w:b/>
          <w:color w:val="000000"/>
          <w:kern w:val="2"/>
          <w:sz w:val="32"/>
          <w:szCs w:val="32"/>
          <w:lang w:val="en-US" w:eastAsia="zh-CN"/>
        </w:rPr>
        <w:t xml:space="preserve">Patent </w:t>
      </w:r>
      <w:r>
        <w:rPr>
          <w:rFonts w:hint="eastAsia" w:ascii="Times New Roman" w:hAnsi="Times New Roman" w:eastAsia="楷体" w:cs="Times New Roman"/>
          <w:b/>
          <w:color w:val="000000"/>
          <w:kern w:val="2"/>
          <w:sz w:val="32"/>
          <w:szCs w:val="32"/>
          <w:lang w:val="en-US" w:eastAsia="zh-CN"/>
        </w:rPr>
        <w:t>C</w:t>
      </w:r>
      <w:r>
        <w:rPr>
          <w:rFonts w:hint="default" w:ascii="Times New Roman" w:hAnsi="Times New Roman" w:eastAsia="楷体" w:cs="Times New Roman"/>
          <w:b/>
          <w:color w:val="000000"/>
          <w:kern w:val="2"/>
          <w:sz w:val="32"/>
          <w:szCs w:val="32"/>
          <w:lang w:val="en-US" w:eastAsia="zh-CN"/>
        </w:rPr>
        <w:t xml:space="preserve">itations and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val="en-US" w:eastAsia="zh-CN"/>
        </w:rPr>
        <w:t xml:space="preserve">cquisition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remiums: A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val="en-US" w:eastAsia="zh-CN"/>
        </w:rPr>
        <w:t>creening</w:t>
      </w:r>
      <w:r>
        <w:rPr>
          <w:rFonts w:hint="eastAsia" w:ascii="Times New Roman" w:hAnsi="Times New Roman" w:eastAsia="楷体" w:cs="Times New Roman"/>
          <w:b/>
          <w:color w:val="000000"/>
          <w:kern w:val="2"/>
          <w:sz w:val="32"/>
          <w:szCs w:val="32"/>
          <w:lang w:val="en-US" w:eastAsia="zh-CN"/>
        </w:rPr>
        <w:t xml:space="preserve"> P</w:t>
      </w:r>
      <w:r>
        <w:rPr>
          <w:rFonts w:hint="default" w:ascii="Times New Roman" w:hAnsi="Times New Roman" w:eastAsia="楷体" w:cs="Times New Roman"/>
          <w:b/>
          <w:color w:val="000000"/>
          <w:kern w:val="2"/>
          <w:sz w:val="32"/>
          <w:szCs w:val="32"/>
          <w:lang w:val="en-US" w:eastAsia="zh-CN"/>
        </w:rPr>
        <w:t>erspective</w:t>
      </w:r>
      <w:bookmarkEnd w:id="145"/>
    </w:p>
    <w:p w14:paraId="462217B5">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color w:val="000000"/>
          <w:sz w:val="21"/>
          <w:szCs w:val="21"/>
          <w:shd w:val="clear" w:color="auto" w:fill="FFFFFF"/>
          <w:lang w:val="en-US" w:eastAsia="zh-CN"/>
        </w:rPr>
      </w:pPr>
      <w:bookmarkStart w:id="146" w:name="_Toc10885"/>
      <w:bookmarkStart w:id="147" w:name="_Toc105607374"/>
      <w:bookmarkStart w:id="148" w:name="_Toc25134"/>
      <w:r>
        <w:rPr>
          <w:rFonts w:hint="eastAsia" w:ascii="Times New Roman" w:hAnsi="Times New Roman" w:eastAsia="楷体" w:cs="Times New Roman"/>
          <w:b/>
          <w:bCs/>
          <w:lang w:val="en-US" w:eastAsia="zh-CN"/>
        </w:rPr>
        <w:t>作者：</w:t>
      </w:r>
      <w:r>
        <w:rPr>
          <w:rFonts w:hint="eastAsia" w:ascii="Times New Roman" w:hAnsi="Times New Roman" w:eastAsia="楷体" w:cs="Times New Roman"/>
          <w:color w:val="000000"/>
          <w:sz w:val="21"/>
          <w:szCs w:val="21"/>
          <w:shd w:val="clear" w:color="auto" w:fill="FFFFFF"/>
          <w:lang w:val="en-US" w:eastAsia="zh-CN"/>
        </w:rPr>
        <w:t>Bhussar, MS (Bhussar, Manjot S.)1 Fox, BC (Fox, Brian C.)2 Grove, S (Grove, Sergio)3</w:t>
      </w:r>
    </w:p>
    <w:p w14:paraId="5CEE946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color w:val="000000"/>
          <w:sz w:val="21"/>
          <w:szCs w:val="21"/>
          <w:shd w:val="clear" w:color="auto" w:fill="FFFFFF"/>
          <w:lang w:val="en-US" w:eastAsia="zh-CN"/>
        </w:rPr>
        <w:t>1. Iowa State Univ, Debbie &amp; Jerry Ivy Coll Business, Management &amp; Entrepreneurship Dept, Ames, IA 50011 USA</w:t>
      </w:r>
    </w:p>
    <w:p w14:paraId="2AB1319D">
      <w:pPr>
        <w:keepNext w:val="0"/>
        <w:keepLines w:val="0"/>
        <w:pageBreakBefore w:val="0"/>
        <w:numPr>
          <w:ilvl w:val="0"/>
          <w:numId w:val="1"/>
        </w:numPr>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color="auto" w:fill="FFFFFF"/>
          <w:lang w:val="en-US" w:eastAsia="zh-CN"/>
        </w:rPr>
        <w:t>Bentley Univ, Adamian Acad Ctr, Management Dept, 175 Forest St, Waltham, MA USA</w:t>
      </w:r>
    </w:p>
    <w:p w14:paraId="32F66866">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0" w:leftChars="0" w:firstLine="0" w:firstLineChars="0"/>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color w:val="000000"/>
          <w:sz w:val="21"/>
          <w:szCs w:val="21"/>
          <w:shd w:val="clear" w:fill="FFFFFF"/>
          <w:lang w:val="en-US" w:eastAsia="zh-CN" w:bidi="ar-SA"/>
        </w:rPr>
        <w:t xml:space="preserve">3. </w:t>
      </w:r>
      <w:r>
        <w:rPr>
          <w:rFonts w:hint="eastAsia" w:ascii="Times New Roman" w:hAnsi="Times New Roman" w:eastAsia="楷体" w:cs="Times New Roman"/>
          <w:color w:val="000000"/>
          <w:sz w:val="21"/>
          <w:szCs w:val="21"/>
          <w:shd w:val="clear" w:color="auto" w:fill="FFFFFF"/>
          <w:lang w:val="en-US" w:eastAsia="zh-CN"/>
        </w:rPr>
        <w:t>Univ Texas El Paso, Coll Business Adm, Mkt &amp; Management Dept, Business Adm Bldg, El Paso, TX 79968 USA</w:t>
      </w:r>
    </w:p>
    <w:p w14:paraId="154BB9F0">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color w:val="000000"/>
          <w:sz w:val="21"/>
          <w:szCs w:val="21"/>
          <w:shd w:val="clear" w:color="auto" w:fill="FFFFFF"/>
          <w:lang w:val="en-US" w:eastAsia="zh-CN"/>
        </w:rPr>
        <w:t>While extant acquisition literature explores how intentional signaling between the acquiring and target firms can influence acquisition outcomes, examine how unintentional information revealed through prior actions taken long before an acquisition is contemplated-specifically citation patterns between the firms-influences acquisition outcomes. We argue that targets can screen patent citation imbalances between and target to reduce information asymmetry regarding potential joint value creation. When the acquirer cites the target's patents more reverse, the target is better able to infer knowledge dependence or private synergies stemming from the complementary knowledge bases firm. The reduction of information asymmetry permits the target to capture a higher acquisition premium justified by these anticipated synergies dependencies. Using a sample of acquisitions between US high-tech firms from 2005 to 2021, we find support for our thesis when the patent portfolio is diverse.</w:t>
      </w:r>
    </w:p>
    <w:p w14:paraId="45D7F0D9">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color w:val="000000"/>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color w:val="000000"/>
          <w:sz w:val="21"/>
          <w:szCs w:val="21"/>
          <w:shd w:val="clear" w:color="auto" w:fill="FFFFFF"/>
          <w:lang w:val="en-US" w:eastAsia="zh-CN"/>
        </w:rPr>
        <w:t>Sample selection Bias; Signaling theory; Portfolio diversity; Bargaining power; acquiring firms; Moderating role; Value capture; Performance; Diversification; Innovation</w:t>
      </w:r>
    </w:p>
    <w:p w14:paraId="24D19990">
      <w:pPr>
        <w:keepNext w:val="0"/>
        <w:keepLines w:val="0"/>
        <w:pageBreakBefore w:val="0"/>
        <w:widowControl/>
        <w:kinsoku/>
        <w:wordWrap/>
        <w:overflowPunct/>
        <w:topLinePunct w:val="0"/>
        <w:autoSpaceDE w:val="0"/>
        <w:autoSpaceDN w:val="0"/>
        <w:bidi w:val="0"/>
        <w:adjustRightInd/>
        <w:snapToGrid/>
        <w:spacing w:before="0" w:beforeLines="50" w:after="0" w:afterLines="50" w:line="360" w:lineRule="auto"/>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（来源：LONG RANGE PLANNING. Volume 58. Issue 3. Jun 2025）</w:t>
      </w:r>
    </w:p>
    <w:bookmarkEnd w:id="146"/>
    <w:bookmarkEnd w:id="147"/>
    <w:bookmarkEnd w:id="148"/>
    <w:p w14:paraId="3EC283EB">
      <w:pPr>
        <w:keepNext w:val="0"/>
        <w:keepLines w:val="0"/>
        <w:pageBreakBefore w:val="0"/>
        <w:widowControl/>
        <w:numPr>
          <w:ilvl w:val="0"/>
          <w:numId w:val="2"/>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000000"/>
          <w:kern w:val="2"/>
          <w:sz w:val="32"/>
          <w:szCs w:val="32"/>
          <w:lang w:val="en-US" w:eastAsia="zh-CN"/>
        </w:rPr>
      </w:pPr>
      <w:bookmarkStart w:id="149" w:name="_Toc487"/>
      <w:bookmarkStart w:id="150" w:name="_Toc24771"/>
      <w:bookmarkStart w:id="151" w:name="_Toc105607375"/>
      <w:bookmarkStart w:id="152" w:name="_Toc31039"/>
      <w:r>
        <w:rPr>
          <w:rFonts w:hint="default" w:ascii="Times New Roman" w:hAnsi="Times New Roman" w:eastAsia="楷体" w:cs="Times New Roman"/>
          <w:b/>
          <w:color w:val="000000"/>
          <w:kern w:val="2"/>
          <w:sz w:val="32"/>
          <w:szCs w:val="32"/>
          <w:lang w:val="en-US" w:eastAsia="zh-CN"/>
        </w:rPr>
        <w:t>Essentiality Checks for Standard Essential Patents</w:t>
      </w:r>
      <w:bookmarkEnd w:id="149"/>
    </w:p>
    <w:p w14:paraId="4C0CDAD3">
      <w:pPr>
        <w:spacing w:before="120" w:beforeLines="50" w:after="120" w:afterLines="50" w:line="360" w:lineRule="auto"/>
        <w:jc w:val="both"/>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Schuett, F (Schuett, Florian)1,2 Wipusanawan, C (Wipusanawan, Chayanin)3,4</w:t>
      </w:r>
    </w:p>
    <w:p w14:paraId="4F84594C">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Katholieke Univ Leuven, B-3000 Leuven, Belgium</w:t>
      </w:r>
    </w:p>
    <w:p w14:paraId="0336709B">
      <w:pPr>
        <w:numPr>
          <w:ilvl w:val="0"/>
          <w:numId w:val="3"/>
        </w:numPr>
        <w:spacing w:before="120" w:beforeLines="50" w:after="120" w:afterLines="50" w:line="360" w:lineRule="auto"/>
        <w:ind w:left="0" w:leftChars="0" w:firstLine="0" w:firstLineChars="0"/>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Tilburg Univ, NL-5037 AB Tilburg, Netherlands</w:t>
      </w:r>
    </w:p>
    <w:p w14:paraId="7EEF4259">
      <w:pPr>
        <w:numPr>
          <w:ilvl w:val="0"/>
          <w:numId w:val="0"/>
        </w:numPr>
        <w:spacing w:before="120" w:beforeLines="50" w:after="120" w:afterLines="50" w:line="360" w:lineRule="auto"/>
        <w:ind w:leftChars="0"/>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Univ Passau, DFG Res Training Grp Digital Platform Ecosyst, D-94032 Passau, Germany</w:t>
      </w:r>
    </w:p>
    <w:p w14:paraId="5EAB90DB">
      <w:pPr>
        <w:numPr>
          <w:ilvl w:val="0"/>
          <w:numId w:val="0"/>
        </w:numPr>
        <w:spacing w:before="120" w:beforeLines="50" w:after="120" w:afterLines="50" w:line="360" w:lineRule="auto"/>
        <w:ind w:leftChars="0"/>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4. Univ Passau, Chair Internet &amp; Telecommun Business, D-94032 Passau, Germany</w:t>
      </w:r>
    </w:p>
    <w:p w14:paraId="24E8B023">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There is widespread concern about the lack of transparency regarding standard essential patents (SEPs). This paper examines the proposal to introduce essentiality checks, a certification scheme for declared SEPs. We develop a framework that allows us to evaluate how essentiality checks would impact licensing, litigation, and incentives to innovate. In our model, an upstream innovator invests in R&amp;D and privately learns about the likely essentiality of its patents for a standard. The innovator then licenses the patents to a downstream implementer who can contest the essentiality of the patents in court. We show that, although essentiality checks can reduce litigation, they also raise incentives for R&amp;D investment. Because the latter can be excessive if FRAND requirements are ineffective and spillovers are small, the overall welfare impact of essentiality checks is ambiguous.</w:t>
      </w:r>
    </w:p>
    <w:p w14:paraId="4908086F">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lang w:val="en-US" w:eastAsia="zh-CN"/>
        </w:rPr>
        <w:t>E</w:t>
      </w:r>
      <w:r>
        <w:rPr>
          <w:rFonts w:hint="eastAsia" w:ascii="Times New Roman" w:hAnsi="Times New Roman" w:eastAsia="楷体" w:cs="Times New Roman"/>
          <w:b w:val="0"/>
          <w:bCs w:val="0"/>
          <w:sz w:val="21"/>
          <w:szCs w:val="21"/>
          <w:lang w:val="en-US" w:eastAsia="zh-CN"/>
        </w:rPr>
        <w:t>x-ante agreements; Certification; Information; Settlement; Royalties; Rule</w:t>
      </w:r>
    </w:p>
    <w:p w14:paraId="1AC7F53D">
      <w:pPr>
        <w:widowControl/>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（来源：MANAGEMENT SCIENCE. May 2025）</w:t>
      </w:r>
    </w:p>
    <w:bookmarkEnd w:id="136"/>
    <w:bookmarkEnd w:id="150"/>
    <w:bookmarkEnd w:id="151"/>
    <w:bookmarkEnd w:id="152"/>
    <w:p w14:paraId="51F14482">
      <w:pPr>
        <w:keepNext w:val="0"/>
        <w:keepLines w:val="0"/>
        <w:pageBreakBefore w:val="0"/>
        <w:widowControl/>
        <w:numPr>
          <w:ilvl w:val="0"/>
          <w:numId w:val="2"/>
        </w:numPr>
        <w:kinsoku/>
        <w:wordWrap/>
        <w:overflowPunct/>
        <w:topLinePunct w:val="0"/>
        <w:autoSpaceDE/>
        <w:autoSpaceDN/>
        <w:bidi w:val="0"/>
        <w:adjustRightInd/>
        <w:snapToGrid/>
        <w:spacing w:before="800" w:after="200" w:line="480" w:lineRule="auto"/>
        <w:ind w:left="0" w:leftChars="0" w:firstLine="0" w:firstLineChars="0"/>
        <w:jc w:val="center"/>
        <w:textAlignment w:val="auto"/>
        <w:outlineLvl w:val="1"/>
        <w:rPr>
          <w:rFonts w:hint="default" w:ascii="Times New Roman" w:hAnsi="Times New Roman" w:eastAsia="楷体" w:cs="Times New Roman"/>
          <w:b/>
          <w:color w:val="000000"/>
          <w:kern w:val="2"/>
          <w:sz w:val="32"/>
          <w:szCs w:val="32"/>
          <w:lang w:val="en-US" w:eastAsia="zh-CN"/>
        </w:rPr>
      </w:pPr>
      <w:bookmarkStart w:id="153" w:name="_Toc19280"/>
      <w:r>
        <w:rPr>
          <w:rFonts w:hint="default" w:ascii="Times New Roman" w:hAnsi="Times New Roman" w:eastAsia="楷体" w:cs="Times New Roman"/>
          <w:b/>
          <w:color w:val="000000"/>
          <w:kern w:val="2"/>
          <w:sz w:val="32"/>
          <w:szCs w:val="32"/>
          <w:lang w:val="en-US" w:eastAsia="zh-CN"/>
        </w:rPr>
        <w:t xml:space="preserve">Dynamic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val="en-US" w:eastAsia="zh-CN"/>
        </w:rPr>
        <w:t xml:space="preserve">nalysis of </w:t>
      </w:r>
      <w:r>
        <w:rPr>
          <w:rFonts w:hint="eastAsia" w:ascii="Times New Roman" w:hAnsi="Times New Roman" w:eastAsia="楷体" w:cs="Times New Roman"/>
          <w:b/>
          <w:color w:val="000000"/>
          <w:kern w:val="2"/>
          <w:sz w:val="32"/>
          <w:szCs w:val="32"/>
          <w:lang w:val="en-US" w:eastAsia="zh-CN"/>
        </w:rPr>
        <w:t>P</w:t>
      </w:r>
      <w:r>
        <w:rPr>
          <w:rFonts w:hint="default" w:ascii="Times New Roman" w:hAnsi="Times New Roman" w:eastAsia="楷体" w:cs="Times New Roman"/>
          <w:b/>
          <w:color w:val="000000"/>
          <w:kern w:val="2"/>
          <w:sz w:val="32"/>
          <w:szCs w:val="32"/>
          <w:lang w:val="en-US" w:eastAsia="zh-CN"/>
        </w:rPr>
        <w:t xml:space="preserve">atent </w:t>
      </w:r>
      <w:r>
        <w:rPr>
          <w:rFonts w:hint="eastAsia" w:ascii="Times New Roman" w:hAnsi="Times New Roman" w:eastAsia="楷体" w:cs="Times New Roman"/>
          <w:b/>
          <w:color w:val="000000"/>
          <w:kern w:val="2"/>
          <w:sz w:val="32"/>
          <w:szCs w:val="32"/>
          <w:lang w:val="en-US" w:eastAsia="zh-CN"/>
        </w:rPr>
        <w:t>V</w:t>
      </w:r>
      <w:r>
        <w:rPr>
          <w:rFonts w:hint="default" w:ascii="Times New Roman" w:hAnsi="Times New Roman" w:eastAsia="楷体" w:cs="Times New Roman"/>
          <w:b/>
          <w:color w:val="000000"/>
          <w:kern w:val="2"/>
          <w:sz w:val="32"/>
          <w:szCs w:val="32"/>
          <w:lang w:val="en-US" w:eastAsia="zh-CN"/>
        </w:rPr>
        <w:t xml:space="preserve">alue </w:t>
      </w:r>
      <w:r>
        <w:rPr>
          <w:rFonts w:hint="eastAsia" w:ascii="Times New Roman" w:hAnsi="Times New Roman" w:eastAsia="楷体" w:cs="Times New Roman"/>
          <w:b/>
          <w:color w:val="000000"/>
          <w:kern w:val="2"/>
          <w:sz w:val="32"/>
          <w:szCs w:val="32"/>
          <w:lang w:val="en-US" w:eastAsia="zh-CN"/>
        </w:rPr>
        <w:t>E</w:t>
      </w:r>
      <w:r>
        <w:rPr>
          <w:rFonts w:hint="default" w:ascii="Times New Roman" w:hAnsi="Times New Roman" w:eastAsia="楷体" w:cs="Times New Roman"/>
          <w:b/>
          <w:color w:val="000000"/>
          <w:kern w:val="2"/>
          <w:sz w:val="32"/>
          <w:szCs w:val="32"/>
          <w:lang w:val="en-US" w:eastAsia="zh-CN"/>
        </w:rPr>
        <w:t xml:space="preserve">volution: </w:t>
      </w:r>
      <w:r>
        <w:rPr>
          <w:rFonts w:hint="eastAsia" w:ascii="Times New Roman" w:hAnsi="Times New Roman" w:eastAsia="楷体" w:cs="Times New Roman"/>
          <w:b/>
          <w:color w:val="000000"/>
          <w:kern w:val="2"/>
          <w:sz w:val="32"/>
          <w:szCs w:val="32"/>
          <w:lang w:val="en-US" w:eastAsia="zh-CN"/>
        </w:rPr>
        <w:t>A</w:t>
      </w:r>
      <w:r>
        <w:rPr>
          <w:rFonts w:hint="default" w:ascii="Times New Roman" w:hAnsi="Times New Roman" w:eastAsia="楷体" w:cs="Times New Roman"/>
          <w:b/>
          <w:color w:val="000000"/>
          <w:kern w:val="2"/>
          <w:sz w:val="32"/>
          <w:szCs w:val="32"/>
          <w:lang w:val="en-US" w:eastAsia="zh-CN"/>
        </w:rPr>
        <w:t xml:space="preserve"> </w:t>
      </w:r>
      <w:r>
        <w:rPr>
          <w:rFonts w:hint="eastAsia" w:ascii="Times New Roman" w:hAnsi="Times New Roman" w:eastAsia="楷体" w:cs="Times New Roman"/>
          <w:b/>
          <w:color w:val="000000"/>
          <w:kern w:val="2"/>
          <w:sz w:val="32"/>
          <w:szCs w:val="32"/>
          <w:lang w:val="en-US" w:eastAsia="zh-CN"/>
        </w:rPr>
        <w:t>S</w:t>
      </w:r>
      <w:r>
        <w:rPr>
          <w:rFonts w:hint="default" w:ascii="Times New Roman" w:hAnsi="Times New Roman" w:eastAsia="楷体" w:cs="Times New Roman"/>
          <w:b/>
          <w:color w:val="000000"/>
          <w:kern w:val="2"/>
          <w:sz w:val="32"/>
          <w:szCs w:val="32"/>
          <w:lang w:val="en-US" w:eastAsia="zh-CN"/>
        </w:rPr>
        <w:t xml:space="preserve">tudy on the </w:t>
      </w:r>
      <w:r>
        <w:rPr>
          <w:rFonts w:hint="eastAsia" w:ascii="Times New Roman" w:hAnsi="Times New Roman" w:eastAsia="楷体" w:cs="Times New Roman"/>
          <w:b/>
          <w:color w:val="000000"/>
          <w:kern w:val="2"/>
          <w:sz w:val="32"/>
          <w:szCs w:val="32"/>
          <w:lang w:val="en-US" w:eastAsia="zh-CN"/>
        </w:rPr>
        <w:t>R</w:t>
      </w:r>
      <w:r>
        <w:rPr>
          <w:rFonts w:hint="default" w:ascii="Times New Roman" w:hAnsi="Times New Roman" w:eastAsia="楷体" w:cs="Times New Roman"/>
          <w:b/>
          <w:color w:val="000000"/>
          <w:kern w:val="2"/>
          <w:sz w:val="32"/>
          <w:szCs w:val="32"/>
          <w:lang w:val="en-US" w:eastAsia="zh-CN"/>
        </w:rPr>
        <w:t xml:space="preserve">oles of </w:t>
      </w:r>
      <w:r>
        <w:rPr>
          <w:rFonts w:hint="eastAsia" w:ascii="Times New Roman" w:hAnsi="Times New Roman" w:eastAsia="楷体" w:cs="Times New Roman"/>
          <w:b/>
          <w:color w:val="000000"/>
          <w:kern w:val="2"/>
          <w:sz w:val="32"/>
          <w:szCs w:val="32"/>
          <w:lang w:val="en-US" w:eastAsia="zh-CN"/>
        </w:rPr>
        <w:t>N</w:t>
      </w:r>
      <w:r>
        <w:rPr>
          <w:rFonts w:hint="default" w:ascii="Times New Roman" w:hAnsi="Times New Roman" w:eastAsia="楷体" w:cs="Times New Roman"/>
          <w:b/>
          <w:color w:val="000000"/>
          <w:kern w:val="2"/>
          <w:sz w:val="32"/>
          <w:szCs w:val="32"/>
          <w:lang w:val="en-US" w:eastAsia="zh-CN"/>
        </w:rPr>
        <w:t xml:space="preserve">ovelty and </w:t>
      </w:r>
      <w:r>
        <w:rPr>
          <w:rFonts w:hint="eastAsia" w:ascii="Times New Roman" w:hAnsi="Times New Roman" w:eastAsia="楷体" w:cs="Times New Roman"/>
          <w:b/>
          <w:color w:val="000000"/>
          <w:kern w:val="2"/>
          <w:sz w:val="32"/>
          <w:szCs w:val="32"/>
          <w:lang w:val="en-US" w:eastAsia="zh-CN"/>
        </w:rPr>
        <w:t>I</w:t>
      </w:r>
      <w:r>
        <w:rPr>
          <w:rFonts w:hint="default" w:ascii="Times New Roman" w:hAnsi="Times New Roman" w:eastAsia="楷体" w:cs="Times New Roman"/>
          <w:b/>
          <w:color w:val="000000"/>
          <w:kern w:val="2"/>
          <w:sz w:val="32"/>
          <w:szCs w:val="32"/>
          <w:lang w:val="en-US" w:eastAsia="zh-CN"/>
        </w:rPr>
        <w:t>mpact</w:t>
      </w:r>
      <w:bookmarkEnd w:id="153"/>
    </w:p>
    <w:p w14:paraId="5DBAFE3C">
      <w:pPr>
        <w:spacing w:before="120" w:beforeLines="50" w:after="120" w:afterLines="50" w:line="360" w:lineRule="auto"/>
        <w:jc w:val="both"/>
        <w:rPr>
          <w:rFonts w:hint="default"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sz w:val="21"/>
          <w:szCs w:val="21"/>
          <w:shd w:val="clear" w:color="auto" w:fill="FFFFFF"/>
          <w:lang w:val="en-US" w:eastAsia="zh-CN"/>
        </w:rPr>
        <w:t>Gan, JX (Gan, Jingxian)1 Zhang, YJ (Zhang, Yue Jeff)2</w:t>
      </w:r>
    </w:p>
    <w:p w14:paraId="232E8D1B">
      <w:pPr>
        <w:numPr>
          <w:ilvl w:val="0"/>
          <w:numId w:val="0"/>
        </w:num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sz w:val="21"/>
          <w:szCs w:val="21"/>
          <w:shd w:val="clear" w:color="auto" w:fill="FFFFFF"/>
          <w:lang w:val="en-US" w:eastAsia="zh-CN"/>
        </w:rPr>
        <w:t>1. Dalian Univ Technol, Sch Intellectual Property, Dalian, Peoples R China</w:t>
      </w:r>
    </w:p>
    <w:p w14:paraId="1A3BF751">
      <w:pPr>
        <w:numPr>
          <w:ilvl w:val="0"/>
          <w:numId w:val="0"/>
        </w:num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sz w:val="21"/>
          <w:szCs w:val="21"/>
          <w:shd w:val="clear" w:color="auto" w:fill="FFFFFF"/>
          <w:lang w:val="en-US" w:eastAsia="zh-CN"/>
        </w:rPr>
        <w:t>2. Calif State Univ, David Nazarian Coll Business &amp; Econ, Northridge, CA USA</w:t>
      </w:r>
    </w:p>
    <w:p w14:paraId="4BB9EFB9">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sz w:val="21"/>
          <w:szCs w:val="21"/>
          <w:shd w:val="clear" w:color="auto" w:fill="FFFFFF"/>
          <w:lang w:val="en-US" w:eastAsia="zh-CN"/>
        </w:rPr>
        <w:t>This study presents a method for evaluating patent value characteristics using their novelty and impact characteristics. It also explores the dynamic influence of these characteristics on the technological and market value of patents throughout their life cycle. By analyzing USPTO-granted invention patents filed between 1990 and 1999, we find that: 1) Patents display an inverted U-shaped relationship between novelty and impact, though within our data range, this is still in the ascending phase and hasn't reached the decline inflection point. 2) In the short term, novelty is negatively correlated with citations, while impact is positively correlated. In the long term, novelty has an inverted U-shaped relationship with citations, whereas impact correlates negatively. 3) Novelty also shows an inverted U-shaped relationship with patent renewal rates, while impact positively correlates with renewal rates. These findings highlight the complex interactions between patent novelty and impact on citations and renewals, offering new insights into assessing technological and market value.</w:t>
      </w:r>
    </w:p>
    <w:p w14:paraId="49E40D37">
      <w:pPr>
        <w:spacing w:before="120" w:beforeLines="50" w:after="120" w:afterLines="50" w:line="360" w:lineRule="auto"/>
        <w:jc w:val="both"/>
        <w:rPr>
          <w:rFonts w:hint="eastAsia" w:ascii="Times New Roman" w:hAnsi="Times New Roman" w:eastAsia="楷体" w:cs="Times New Roman"/>
          <w:sz w:val="21"/>
          <w:szCs w:val="21"/>
          <w:shd w:val="clear" w:color="auto" w:fill="FFFFFF"/>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sz w:val="21"/>
          <w:szCs w:val="21"/>
          <w:shd w:val="clear" w:color="auto" w:fill="FFFFFF"/>
          <w:lang w:val="en-US" w:eastAsia="zh-CN"/>
        </w:rPr>
        <w:t>Inventions evidence; Citation data; Biotechnology; Indicators; Science; Collaboration; Management; Knowledge; Renewal</w:t>
      </w:r>
    </w:p>
    <w:p w14:paraId="0D36AA09">
      <w:pPr>
        <w:spacing w:before="120" w:beforeLines="50" w:after="120" w:afterLines="50" w:line="360" w:lineRule="auto"/>
        <w:jc w:val="both"/>
        <w:rPr>
          <w:rFonts w:hint="default" w:ascii="Times New Roman" w:hAnsi="Times New Roman" w:eastAsia="宋体"/>
          <w:sz w:val="24"/>
          <w:szCs w:val="24"/>
          <w:lang w:val="en-US" w:eastAsia="zh-CN"/>
        </w:rPr>
      </w:pPr>
      <w:r>
        <w:rPr>
          <w:rFonts w:hint="eastAsia" w:ascii="Times New Roman" w:hAnsi="Times New Roman" w:eastAsia="楷体" w:cs="Times New Roman"/>
          <w:color w:val="0070C0"/>
          <w:sz w:val="21"/>
          <w:szCs w:val="21"/>
          <w:lang w:val="en-US" w:eastAsia="zh-CN"/>
        </w:rPr>
        <w:t>（来源：TECHNOLOGY ANALYSIS &amp; STRATEGIC MANAGEMENT. May 2025）</w:t>
      </w:r>
    </w:p>
    <w:p w14:paraId="2A3A75F0">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84464B5">
      <w:pPr>
        <w:spacing w:before="120" w:beforeLines="50" w:after="120" w:afterLines="50" w:line="360" w:lineRule="auto"/>
        <w:jc w:val="both"/>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lang w:val="en-US" w:eastAsia="zh-CN" w:bidi="ar-SA"/>
        </w:rPr>
      </w:pPr>
      <w:bookmarkStart w:id="154" w:name="_Toc18967"/>
      <w:r>
        <w:rPr>
          <w:rFonts w:hint="eastAsia" w:ascii="Times New Roman" w:hAnsi="Times New Roman" w:eastAsia="仿宋" w:cs="Times New Roman"/>
          <w:b/>
          <w:bCs/>
          <w:color w:val="376092" w:themeColor="accent1" w:themeShade="BF"/>
          <w:kern w:val="44"/>
          <w:sz w:val="44"/>
          <w:szCs w:val="44"/>
          <w:lang w:val="en-US" w:eastAsia="zh-CN" w:bidi="ar-SA"/>
        </w:rPr>
        <w:t>南湖学人成果速递</w:t>
      </w:r>
      <w:bookmarkEnd w:id="154"/>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lang w:val="en-US" w:eastAsia="zh-CN" w:bidi="ar"/>
        </w:rPr>
      </w:pPr>
      <w:r>
        <w:rPr>
          <w:rFonts w:hint="eastAsia" w:ascii="宋体" w:hAnsi="宋体" w:eastAsia="宋体" w:cs="宋体"/>
          <w:b/>
          <w:bCs/>
          <w:color w:val="95B3D7"/>
          <w:kern w:val="2"/>
          <w:sz w:val="21"/>
          <w:szCs w:val="21"/>
          <w:lang w:val="en-US" w:eastAsia="zh-CN" w:bidi="ar"/>
        </w:rPr>
        <w:t>推介范围：中南财经政法大学知识产权研究中心之研究成果</w:t>
      </w:r>
    </w:p>
    <w:p w14:paraId="1CF0BF16">
      <w:pPr>
        <w:keepNext/>
        <w:keepLines/>
        <w:numPr>
          <w:ilvl w:val="0"/>
          <w:numId w:val="4"/>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155" w:name="_Toc26285"/>
      <w:r>
        <w:rPr>
          <w:rFonts w:hint="default" w:ascii="Times New Roman" w:hAnsi="Times New Roman" w:eastAsia="方正小标宋简体" w:cs="方正小标宋简体"/>
          <w:bCs/>
          <w:color w:val="000000"/>
          <w:kern w:val="2"/>
          <w:sz w:val="28"/>
          <w:szCs w:val="28"/>
          <w:lang w:val="en-US" w:eastAsia="zh-CN"/>
        </w:rPr>
        <w:t>知识产权投资公共政策目标的竞争张力与制度约束——由知识产权安全机制泛化展开</w:t>
      </w:r>
      <w:bookmarkEnd w:id="155"/>
    </w:p>
    <w:p w14:paraId="24E57C58">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1844C550">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t>何艳：中南财经政法大学知识产权研究中心</w:t>
      </w:r>
      <w:r>
        <w:rPr>
          <w:rFonts w:hint="eastAsia" w:ascii="Times New Roman" w:hAnsi="Times New Roman" w:eastAsia="楷体" w:cs="楷体"/>
          <w:b w:val="0"/>
          <w:bCs/>
          <w:color w:val="000000"/>
          <w:szCs w:val="21"/>
          <w:shd w:val="clear" w:color="auto" w:fill="FFFFFF"/>
          <w:lang w:val="en-US" w:eastAsia="zh-CN"/>
        </w:rPr>
        <w:t>研究员</w:t>
      </w:r>
    </w:p>
    <w:p w14:paraId="657D59DA">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《法学》2025年第</w:t>
      </w:r>
      <w:r>
        <w:rPr>
          <w:rFonts w:hint="eastAsia" w:ascii="Times New Roman" w:hAnsi="Times New Roman" w:eastAsia="楷体" w:cs="楷体"/>
          <w:b w:val="0"/>
          <w:bCs/>
          <w:color w:val="000000"/>
          <w:szCs w:val="21"/>
          <w:shd w:val="clear" w:color="auto" w:fill="FFFFFF"/>
          <w:lang w:val="en-US" w:eastAsia="zh-CN"/>
        </w:rPr>
        <w:t>5</w:t>
      </w:r>
      <w:r>
        <w:rPr>
          <w:rFonts w:hint="default" w:ascii="Times New Roman" w:hAnsi="Times New Roman" w:eastAsia="楷体" w:cs="楷体"/>
          <w:b w:val="0"/>
          <w:bCs/>
          <w:color w:val="000000"/>
          <w:szCs w:val="21"/>
          <w:shd w:val="clear" w:color="auto" w:fill="FFFFFF"/>
          <w:lang w:val="en-US" w:eastAsia="zh-CN"/>
        </w:rPr>
        <w:t>期</w:t>
      </w:r>
    </w:p>
    <w:p w14:paraId="5E74AA21">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经由知识产权安全机制的泛化，一国知识产权投资的公共政策往往被异化为打压他国投资者、遏制他国科技发展的政治工具。目前投资条约知识产权公共政策目标的制度竞争张力和司法竞争张力，一定程度上为知识产权公共政策功能异化的“合法化”提供制度支撑和司法便利。上述趋向打破了《TRIPs协定》确立的知识产权政策目标间的均衡竞争格局，知识产权投资保护的制度优势不再、司法环境堪忧，投资者合理期待面临挑战。为降低知识产权投资者遭遇知识产权安全机制泛化的风险，投资条约有必要通过明确知识产权投资安排惠及所有人的宗旨、强调知识产权政策目标间的协同原则、实现比例原则的文本化与具象化、优选合作型争端解决机制化解涉公共政策知识产权争端。相关制度的完善，能形成知识产权政策目标间的协同效应、促进技术创新和发展、惠及所有人的国际知识产权投资安排，以制约知识产权公共政策目标竞争张力的膨胀、防范滥用国家安全例外的风险、保护知识产权投资者的正当利益。</w:t>
      </w:r>
    </w:p>
    <w:p w14:paraId="3F906456">
      <w:pPr>
        <w:spacing w:before="120" w:beforeLines="50" w:after="120" w:afterLines="50" w:line="360" w:lineRule="auto"/>
        <w:jc w:val="both"/>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ab/>
      </w:r>
      <w:r>
        <w:rPr>
          <w:rFonts w:hint="default" w:ascii="Times New Roman" w:hAnsi="Times New Roman" w:eastAsia="楷体" w:cs="楷体"/>
          <w:b w:val="0"/>
          <w:bCs/>
          <w:color w:val="000000"/>
          <w:szCs w:val="21"/>
          <w:shd w:val="clear" w:color="auto" w:fill="FFFFFF"/>
          <w:lang w:val="en-US" w:eastAsia="zh-CN"/>
        </w:rPr>
        <w:t>知识产权安全机制泛化</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投资条约</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公共政策目标</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竞争张力</w:t>
      </w:r>
    </w:p>
    <w:p w14:paraId="2899FF6E">
      <w:pPr>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br w:type="page"/>
      </w:r>
      <w:bookmarkStart w:id="157" w:name="_GoBack"/>
      <w:bookmarkEnd w:id="157"/>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156" w:name="页尾"/>
      <w:bookmarkEnd w:id="156"/>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5</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127</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朱璐彤</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杨雯</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18064768486@163.com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 xml:space="preserve"> 1</w:t>
      </w:r>
      <w:r>
        <w:rPr>
          <w:rFonts w:hint="eastAsia" w:ascii="Times New Roman" w:hAnsi="Times New Roman" w:eastAsia="宋体"/>
          <w:sz w:val="24"/>
          <w:szCs w:val="24"/>
          <w:lang w:val="en-US" w:eastAsia="zh-CN"/>
        </w:rPr>
        <w:t>7797650576</w:t>
      </w:r>
      <w:r>
        <w:rPr>
          <w:rFonts w:hint="eastAsia" w:ascii="Times New Roman" w:hAnsi="Times New Roman" w:eastAsia="宋体"/>
          <w:sz w:val="24"/>
          <w:szCs w:val="24"/>
          <w:lang w:eastAsia="zh-CN"/>
        </w:rPr>
        <w:t>@163.com</w:t>
      </w:r>
    </w:p>
    <w:sectPr>
      <w:headerReference r:id="rId12" w:type="default"/>
      <w:footerReference r:id="rId14" w:type="default"/>
      <w:headerReference r:id="rId13" w:type="even"/>
      <w:footerReference r:id="rId15"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1" w:fontKey="{72F9D8D3-A68A-4315-A4D0-E25B2702F4A3}"/>
  </w:font>
  <w:font w:name="仿宋">
    <w:panose1 w:val="02010609060101010101"/>
    <w:charset w:val="86"/>
    <w:family w:val="modern"/>
    <w:pitch w:val="default"/>
    <w:sig w:usb0="800002BF" w:usb1="38CF7CFA" w:usb2="00000016" w:usb3="00000000" w:csb0="00040001" w:csb1="00000000"/>
    <w:embedRegular r:id="rId2" w:fontKey="{08B3F2E3-3BCE-42BA-9818-4F9E0099AC65}"/>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D20501C2-B396-4845-9121-9194F3998D18}"/>
  </w:font>
  <w:font w:name="方正小标宋_GBK">
    <w:panose1 w:val="02000000000000000000"/>
    <w:charset w:val="86"/>
    <w:family w:val="auto"/>
    <w:pitch w:val="default"/>
    <w:sig w:usb0="A00002BF" w:usb1="38CF7CFA" w:usb2="00082016" w:usb3="00000000" w:csb0="00040001" w:csb1="00000000"/>
    <w:embedRegular r:id="rId4" w:fontKey="{6869CC1C-41C9-49E5-8498-B502249751B3}"/>
  </w:font>
  <w:font w:name="楷体">
    <w:panose1 w:val="02010609060101010101"/>
    <w:charset w:val="86"/>
    <w:family w:val="modern"/>
    <w:pitch w:val="default"/>
    <w:sig w:usb0="800002BF" w:usb1="38CF7CFA" w:usb2="00000016" w:usb3="00000000" w:csb0="00040001" w:csb1="00000000"/>
    <w:embedRegular r:id="rId5" w:fontKey="{7FE3B006-95C4-4972-B3E7-BB63F0FBA6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EF">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22082E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84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376711">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5A903C3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6C13">
    <w:pPr>
      <w:tabs>
        <w:tab w:val="center" w:pos="4550"/>
        <w:tab w:val="left" w:pos="5818"/>
      </w:tabs>
      <w:ind w:right="260"/>
      <w:jc w:val="center"/>
      <w:rPr>
        <w:rFonts w:hint="default" w:asciiTheme="majorEastAsia" w:hAnsiTheme="majorEastAsia" w:eastAsiaTheme="majorEastAsia"/>
        <w:color w:val="17375E" w:themeColor="text2" w:themeShade="BF"/>
        <w:sz w:val="24"/>
        <w:szCs w:val="24"/>
        <w:lang w:eastAsia="zh-CN"/>
      </w:rPr>
    </w:pPr>
    <w:r>
      <w:rPr>
        <w:rFonts w:hint="default" w:asciiTheme="majorEastAsia" w:hAnsiTheme="majorEastAsia" w:eastAsiaTheme="majorEastAsia"/>
        <w:color w:val="17375E" w:themeColor="text2" w:themeShade="BF"/>
        <w:sz w:val="24"/>
        <w:szCs w:val="24"/>
        <w:lang w:eastAsia="zh-CN"/>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A4D0EC">
                    <w:pPr>
                      <w:pStyle w:val="10"/>
                      <w:keepNext w:val="0"/>
                      <w:keepLines w:val="0"/>
                      <w:pageBreakBefore w:val="0"/>
                      <w:widowControl w:val="0"/>
                      <w:kinsoku/>
                      <w:wordWrap/>
                      <w:overflowPunct/>
                      <w:topLinePunct w:val="0"/>
                      <w:bidi w:val="0"/>
                      <w:adjustRightInd/>
                      <w:snapToGrid w:val="0"/>
                      <w:ind w:right="261"/>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9F20">
    <w:pPr>
      <w:pStyle w:val="10"/>
    </w:pPr>
    <w:r>
      <w:rPr>
        <w:sz w:val="18"/>
      </w:rPr>
      <mc:AlternateContent>
        <mc:Choice Requires="wps">
          <w:drawing>
            <wp:anchor distT="0" distB="0" distL="114300" distR="114300" simplePos="0" relativeHeight="251670528" behindDoc="0" locked="0" layoutInCell="1" allowOverlap="1">
              <wp:simplePos x="0" y="0"/>
              <wp:positionH relativeFrom="margin">
                <wp:posOffset>4561205</wp:posOffset>
              </wp:positionH>
              <wp:positionV relativeFrom="paragraph">
                <wp:posOffset>-50800</wp:posOffset>
              </wp:positionV>
              <wp:extent cx="705485" cy="2546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70548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9.15pt;margin-top:-4pt;height:20.05pt;width:55.55pt;mso-position-horizontal-relative:margin;z-index:251670528;mso-width-relative:page;mso-height-relative:page;" filled="f" stroked="f" coordsize="21600,21600" o:gfxdata="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8jCKPYAAAACQEAAA8AAAAAAAAAAQAgAAAAIgAAAGRycy9kb3du&#10;cmV2LnhtbFBLAQIUABQAAAAIAIdO4kA3yci1OAIAAGMEAAAOAAAAAAAAAAEAIAAAACcBAABkcnMv&#10;ZTJvRG9jLnhtbFBLBQYAAAAABgAGAFkBAADRBQAAAAA=&#10;">
              <v:fill on="f" focussize="0,0"/>
              <v:stroke on="f" weight="0.5pt"/>
              <v:imagedata o:title=""/>
              <o:lock v:ext="edit" aspectratio="f"/>
              <v:textbox inset="0mm,0mm,0mm,0mm">
                <w:txbxContent>
                  <w:p w14:paraId="22461384">
                    <w:pPr>
                      <w:pStyle w:val="10"/>
                      <w:keepNext w:val="0"/>
                      <w:keepLines w:val="0"/>
                      <w:pageBreakBefore w:val="0"/>
                      <w:widowControl w:val="0"/>
                      <w:kinsoku/>
                      <w:wordWrap/>
                      <w:overflowPunct/>
                      <w:topLinePunct w:val="0"/>
                      <w:bidi w:val="0"/>
                      <w:adjustRightInd/>
                      <w:snapToGrid w:val="0"/>
                      <w:ind w:right="261"/>
                      <w:jc w:val="both"/>
                      <w:textAlignment w:val="auto"/>
                      <w:rPr>
                        <w:rFonts w:hint="default" w:eastAsia="宋体"/>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30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39FAC"/>
    <w:multiLevelType w:val="singleLevel"/>
    <w:tmpl w:val="CA539FAC"/>
    <w:lvl w:ilvl="0" w:tentative="0">
      <w:start w:val="4"/>
      <w:numFmt w:val="decimal"/>
      <w:suff w:val="space"/>
      <w:lvlText w:val="%1."/>
      <w:lvlJc w:val="left"/>
    </w:lvl>
  </w:abstractNum>
  <w:abstractNum w:abstractNumId="1">
    <w:nsid w:val="DDEAC901"/>
    <w:multiLevelType w:val="singleLevel"/>
    <w:tmpl w:val="DDEAC901"/>
    <w:lvl w:ilvl="0" w:tentative="0">
      <w:start w:val="2"/>
      <w:numFmt w:val="decimal"/>
      <w:suff w:val="space"/>
      <w:lvlText w:val="%1."/>
      <w:lvlJc w:val="left"/>
    </w:lvl>
  </w:abstractNum>
  <w:abstractNum w:abstractNumId="2">
    <w:nsid w:val="FA539D28"/>
    <w:multiLevelType w:val="singleLevel"/>
    <w:tmpl w:val="FA539D28"/>
    <w:lvl w:ilvl="0" w:tentative="0">
      <w:start w:val="2"/>
      <w:numFmt w:val="decimal"/>
      <w:suff w:val="space"/>
      <w:lvlText w:val="%1."/>
      <w:lvlJc w:val="left"/>
    </w:lvl>
  </w:abstractNum>
  <w:abstractNum w:abstractNumId="3">
    <w:nsid w:val="4249D4DC"/>
    <w:multiLevelType w:val="singleLevel"/>
    <w:tmpl w:val="4249D4DC"/>
    <w:lvl w:ilvl="0" w:tentative="0">
      <w:start w:val="1"/>
      <w:numFmt w:val="decimal"/>
      <w:suff w:val="space"/>
      <w:lvlText w:val="%1."/>
      <w:lvlJc w:val="left"/>
      <w:rPr>
        <w:rFonts w:hint="default"/>
        <w:sz w:val="28"/>
        <w:szCs w:val="28"/>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392064"/>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0C6A"/>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6CF"/>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706922"/>
    <w:rsid w:val="01772A9E"/>
    <w:rsid w:val="01910A08"/>
    <w:rsid w:val="01C56B21"/>
    <w:rsid w:val="01CC7080"/>
    <w:rsid w:val="01DB7ED5"/>
    <w:rsid w:val="020549CA"/>
    <w:rsid w:val="02107DF4"/>
    <w:rsid w:val="021F34E2"/>
    <w:rsid w:val="02301FCF"/>
    <w:rsid w:val="02383B49"/>
    <w:rsid w:val="02902A6D"/>
    <w:rsid w:val="02907AEB"/>
    <w:rsid w:val="029A7D90"/>
    <w:rsid w:val="029D1F62"/>
    <w:rsid w:val="029E6486"/>
    <w:rsid w:val="02AF383B"/>
    <w:rsid w:val="02EA2B3A"/>
    <w:rsid w:val="02FC6355"/>
    <w:rsid w:val="030516AD"/>
    <w:rsid w:val="0326169D"/>
    <w:rsid w:val="03305FFE"/>
    <w:rsid w:val="03360C8C"/>
    <w:rsid w:val="036D2DAF"/>
    <w:rsid w:val="037B78C5"/>
    <w:rsid w:val="038629BA"/>
    <w:rsid w:val="038805C4"/>
    <w:rsid w:val="038F71C9"/>
    <w:rsid w:val="03B82336"/>
    <w:rsid w:val="03D25D2F"/>
    <w:rsid w:val="03D55E36"/>
    <w:rsid w:val="040C0819"/>
    <w:rsid w:val="042711AF"/>
    <w:rsid w:val="0433332C"/>
    <w:rsid w:val="045D2E23"/>
    <w:rsid w:val="04642403"/>
    <w:rsid w:val="046F76DC"/>
    <w:rsid w:val="049636C9"/>
    <w:rsid w:val="04F35535"/>
    <w:rsid w:val="04FC7762"/>
    <w:rsid w:val="052575A0"/>
    <w:rsid w:val="057C3DDD"/>
    <w:rsid w:val="05A95E70"/>
    <w:rsid w:val="061F4808"/>
    <w:rsid w:val="06435032"/>
    <w:rsid w:val="06545E4B"/>
    <w:rsid w:val="06591E7F"/>
    <w:rsid w:val="065E67F0"/>
    <w:rsid w:val="0664493D"/>
    <w:rsid w:val="067563EE"/>
    <w:rsid w:val="068D5035"/>
    <w:rsid w:val="0698763E"/>
    <w:rsid w:val="06C3672B"/>
    <w:rsid w:val="0731196F"/>
    <w:rsid w:val="07630750"/>
    <w:rsid w:val="0794067B"/>
    <w:rsid w:val="07967272"/>
    <w:rsid w:val="07C942BA"/>
    <w:rsid w:val="07DB772A"/>
    <w:rsid w:val="07E900D0"/>
    <w:rsid w:val="080B05EF"/>
    <w:rsid w:val="08220AE5"/>
    <w:rsid w:val="0830030B"/>
    <w:rsid w:val="086735EC"/>
    <w:rsid w:val="087A0447"/>
    <w:rsid w:val="088201DB"/>
    <w:rsid w:val="089A2898"/>
    <w:rsid w:val="089B03BE"/>
    <w:rsid w:val="08E34350"/>
    <w:rsid w:val="08EF2872"/>
    <w:rsid w:val="08FA1588"/>
    <w:rsid w:val="0935611C"/>
    <w:rsid w:val="09356D9D"/>
    <w:rsid w:val="09440298"/>
    <w:rsid w:val="094F1815"/>
    <w:rsid w:val="09733EF5"/>
    <w:rsid w:val="09AE3122"/>
    <w:rsid w:val="09B41737"/>
    <w:rsid w:val="09D05E45"/>
    <w:rsid w:val="0A8605CD"/>
    <w:rsid w:val="0A8B2967"/>
    <w:rsid w:val="0A8C6210"/>
    <w:rsid w:val="0AD9119F"/>
    <w:rsid w:val="0AEF73B9"/>
    <w:rsid w:val="0B150D3E"/>
    <w:rsid w:val="0B434B9F"/>
    <w:rsid w:val="0B494101"/>
    <w:rsid w:val="0B554409"/>
    <w:rsid w:val="0B790DBC"/>
    <w:rsid w:val="0BAA0476"/>
    <w:rsid w:val="0BDF4C6D"/>
    <w:rsid w:val="0C0D15D3"/>
    <w:rsid w:val="0C1866B8"/>
    <w:rsid w:val="0C3112A9"/>
    <w:rsid w:val="0C5B233E"/>
    <w:rsid w:val="0C684A5B"/>
    <w:rsid w:val="0C6E3D50"/>
    <w:rsid w:val="0CC06645"/>
    <w:rsid w:val="0CC72848"/>
    <w:rsid w:val="0CC90EF5"/>
    <w:rsid w:val="0CCD48BE"/>
    <w:rsid w:val="0CDA44C4"/>
    <w:rsid w:val="0CEB3411"/>
    <w:rsid w:val="0CFD3ACC"/>
    <w:rsid w:val="0D130A52"/>
    <w:rsid w:val="0D1338AF"/>
    <w:rsid w:val="0D2A1D10"/>
    <w:rsid w:val="0D431124"/>
    <w:rsid w:val="0D692839"/>
    <w:rsid w:val="0D6C2329"/>
    <w:rsid w:val="0D8D014A"/>
    <w:rsid w:val="0DD203DE"/>
    <w:rsid w:val="0E49028D"/>
    <w:rsid w:val="0E663181"/>
    <w:rsid w:val="0E686E56"/>
    <w:rsid w:val="0E854481"/>
    <w:rsid w:val="0ECF2B6F"/>
    <w:rsid w:val="0ED32660"/>
    <w:rsid w:val="0F2227A9"/>
    <w:rsid w:val="0F360E40"/>
    <w:rsid w:val="0F3E3909"/>
    <w:rsid w:val="0F53048C"/>
    <w:rsid w:val="0F651E25"/>
    <w:rsid w:val="0F73799F"/>
    <w:rsid w:val="0F742EB9"/>
    <w:rsid w:val="0F8E6586"/>
    <w:rsid w:val="0F9702FB"/>
    <w:rsid w:val="0FA47E54"/>
    <w:rsid w:val="0FA91612"/>
    <w:rsid w:val="0FC238EE"/>
    <w:rsid w:val="0FD111F9"/>
    <w:rsid w:val="0FFC5BE6"/>
    <w:rsid w:val="10055BAF"/>
    <w:rsid w:val="100D394F"/>
    <w:rsid w:val="10222729"/>
    <w:rsid w:val="102B2009"/>
    <w:rsid w:val="102B3F18"/>
    <w:rsid w:val="104D01F0"/>
    <w:rsid w:val="105E23FD"/>
    <w:rsid w:val="10736F2C"/>
    <w:rsid w:val="107D2892"/>
    <w:rsid w:val="10AF4A06"/>
    <w:rsid w:val="10B95A4D"/>
    <w:rsid w:val="10E179FB"/>
    <w:rsid w:val="11471BBE"/>
    <w:rsid w:val="11665A0D"/>
    <w:rsid w:val="11791613"/>
    <w:rsid w:val="11CE463B"/>
    <w:rsid w:val="11D373CE"/>
    <w:rsid w:val="11F272A1"/>
    <w:rsid w:val="11FF05B4"/>
    <w:rsid w:val="121E5FC4"/>
    <w:rsid w:val="123A74FE"/>
    <w:rsid w:val="12450A42"/>
    <w:rsid w:val="129B7938"/>
    <w:rsid w:val="12A04F4F"/>
    <w:rsid w:val="12C45740"/>
    <w:rsid w:val="12CF03DE"/>
    <w:rsid w:val="12EA441C"/>
    <w:rsid w:val="13094B28"/>
    <w:rsid w:val="130D3C66"/>
    <w:rsid w:val="13106262"/>
    <w:rsid w:val="13220BED"/>
    <w:rsid w:val="134010DB"/>
    <w:rsid w:val="136C6BDF"/>
    <w:rsid w:val="13FF0CF1"/>
    <w:rsid w:val="13FF6E75"/>
    <w:rsid w:val="144C07BE"/>
    <w:rsid w:val="145C39B0"/>
    <w:rsid w:val="14866F26"/>
    <w:rsid w:val="148D505F"/>
    <w:rsid w:val="148F6101"/>
    <w:rsid w:val="14B720DC"/>
    <w:rsid w:val="14C95A8E"/>
    <w:rsid w:val="14DD42B3"/>
    <w:rsid w:val="14F10E04"/>
    <w:rsid w:val="150B23C9"/>
    <w:rsid w:val="151076E3"/>
    <w:rsid w:val="15175270"/>
    <w:rsid w:val="154A78C4"/>
    <w:rsid w:val="157955E3"/>
    <w:rsid w:val="157E6FEF"/>
    <w:rsid w:val="1585042C"/>
    <w:rsid w:val="158F108D"/>
    <w:rsid w:val="15A9601F"/>
    <w:rsid w:val="15AF7257"/>
    <w:rsid w:val="15BE749A"/>
    <w:rsid w:val="15C5141D"/>
    <w:rsid w:val="15CA5E3E"/>
    <w:rsid w:val="15D171CD"/>
    <w:rsid w:val="16041350"/>
    <w:rsid w:val="16153DDC"/>
    <w:rsid w:val="16193017"/>
    <w:rsid w:val="161C2B3E"/>
    <w:rsid w:val="163360DA"/>
    <w:rsid w:val="16350DFD"/>
    <w:rsid w:val="16366249"/>
    <w:rsid w:val="1642632E"/>
    <w:rsid w:val="166149F5"/>
    <w:rsid w:val="167F131F"/>
    <w:rsid w:val="168626AD"/>
    <w:rsid w:val="16A10C30"/>
    <w:rsid w:val="16A36DBB"/>
    <w:rsid w:val="16A440EC"/>
    <w:rsid w:val="16D12461"/>
    <w:rsid w:val="16D231FD"/>
    <w:rsid w:val="16EF4171"/>
    <w:rsid w:val="16F45869"/>
    <w:rsid w:val="17285513"/>
    <w:rsid w:val="173C0FBE"/>
    <w:rsid w:val="17AD707E"/>
    <w:rsid w:val="17C70888"/>
    <w:rsid w:val="17F65611"/>
    <w:rsid w:val="17FF2717"/>
    <w:rsid w:val="181B0C49"/>
    <w:rsid w:val="18442F4F"/>
    <w:rsid w:val="186A7CDE"/>
    <w:rsid w:val="18706826"/>
    <w:rsid w:val="188C387F"/>
    <w:rsid w:val="189015C1"/>
    <w:rsid w:val="18B352B0"/>
    <w:rsid w:val="18B906C0"/>
    <w:rsid w:val="18B955D1"/>
    <w:rsid w:val="18BA03EC"/>
    <w:rsid w:val="18C96881"/>
    <w:rsid w:val="18E13BCB"/>
    <w:rsid w:val="19061883"/>
    <w:rsid w:val="194523AC"/>
    <w:rsid w:val="194B43FA"/>
    <w:rsid w:val="194D1260"/>
    <w:rsid w:val="19651341"/>
    <w:rsid w:val="198033E4"/>
    <w:rsid w:val="19D26DF3"/>
    <w:rsid w:val="19D57567"/>
    <w:rsid w:val="19EB76AA"/>
    <w:rsid w:val="19EB796A"/>
    <w:rsid w:val="19F11A2B"/>
    <w:rsid w:val="1A093F8E"/>
    <w:rsid w:val="1A190AEF"/>
    <w:rsid w:val="1A400CBF"/>
    <w:rsid w:val="1A4E2B62"/>
    <w:rsid w:val="1A624F5C"/>
    <w:rsid w:val="1A64256F"/>
    <w:rsid w:val="1A644AB4"/>
    <w:rsid w:val="1A750C3B"/>
    <w:rsid w:val="1A8769F4"/>
    <w:rsid w:val="1ADD6614"/>
    <w:rsid w:val="1AED2CFB"/>
    <w:rsid w:val="1B065B6B"/>
    <w:rsid w:val="1B2304CB"/>
    <w:rsid w:val="1B261223"/>
    <w:rsid w:val="1B290502"/>
    <w:rsid w:val="1B6B6D42"/>
    <w:rsid w:val="1B7C5E2D"/>
    <w:rsid w:val="1B7F4776"/>
    <w:rsid w:val="1B862808"/>
    <w:rsid w:val="1BA809D0"/>
    <w:rsid w:val="1C2564C4"/>
    <w:rsid w:val="1C4C76C0"/>
    <w:rsid w:val="1C5A43C0"/>
    <w:rsid w:val="1C6263EB"/>
    <w:rsid w:val="1C783C72"/>
    <w:rsid w:val="1C786E84"/>
    <w:rsid w:val="1C913B5A"/>
    <w:rsid w:val="1CC47A8B"/>
    <w:rsid w:val="1D1A58FD"/>
    <w:rsid w:val="1D1A76AB"/>
    <w:rsid w:val="1D1C78C7"/>
    <w:rsid w:val="1D336867"/>
    <w:rsid w:val="1D412E8A"/>
    <w:rsid w:val="1D465D8B"/>
    <w:rsid w:val="1D5A1553"/>
    <w:rsid w:val="1D5F0B14"/>
    <w:rsid w:val="1D6D1ED1"/>
    <w:rsid w:val="1D8669FF"/>
    <w:rsid w:val="1D9A4E1B"/>
    <w:rsid w:val="1DB84A55"/>
    <w:rsid w:val="1DCA4D45"/>
    <w:rsid w:val="1DCD76E4"/>
    <w:rsid w:val="1DE24180"/>
    <w:rsid w:val="1E043653"/>
    <w:rsid w:val="1E054EC0"/>
    <w:rsid w:val="1E1862E1"/>
    <w:rsid w:val="1E5E54E8"/>
    <w:rsid w:val="1E9B09C4"/>
    <w:rsid w:val="1EE118D6"/>
    <w:rsid w:val="1EEB7551"/>
    <w:rsid w:val="1EF06916"/>
    <w:rsid w:val="1F186FC4"/>
    <w:rsid w:val="1F1A3993"/>
    <w:rsid w:val="1F274302"/>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F7D83"/>
    <w:rsid w:val="21613AFB"/>
    <w:rsid w:val="217168AF"/>
    <w:rsid w:val="21A60944"/>
    <w:rsid w:val="21A97250"/>
    <w:rsid w:val="21DD3E1D"/>
    <w:rsid w:val="220B5C2A"/>
    <w:rsid w:val="22547305"/>
    <w:rsid w:val="225E4709"/>
    <w:rsid w:val="22765384"/>
    <w:rsid w:val="22992D9E"/>
    <w:rsid w:val="22AB4473"/>
    <w:rsid w:val="22BB27A5"/>
    <w:rsid w:val="22C02AA3"/>
    <w:rsid w:val="22C81958"/>
    <w:rsid w:val="22DB5FF2"/>
    <w:rsid w:val="230260A8"/>
    <w:rsid w:val="230C55E7"/>
    <w:rsid w:val="230C5CE8"/>
    <w:rsid w:val="23386074"/>
    <w:rsid w:val="23483683"/>
    <w:rsid w:val="23671171"/>
    <w:rsid w:val="236D6140"/>
    <w:rsid w:val="23757D31"/>
    <w:rsid w:val="23847F75"/>
    <w:rsid w:val="23A1656A"/>
    <w:rsid w:val="23A67EEB"/>
    <w:rsid w:val="23D1216B"/>
    <w:rsid w:val="23E6293F"/>
    <w:rsid w:val="23EA20C6"/>
    <w:rsid w:val="23ED6390"/>
    <w:rsid w:val="23F66812"/>
    <w:rsid w:val="240D3AC6"/>
    <w:rsid w:val="24177D5D"/>
    <w:rsid w:val="2418246B"/>
    <w:rsid w:val="243D4B7A"/>
    <w:rsid w:val="245C67FB"/>
    <w:rsid w:val="246D27B7"/>
    <w:rsid w:val="247B1377"/>
    <w:rsid w:val="2480698E"/>
    <w:rsid w:val="249B5576"/>
    <w:rsid w:val="24A84B3C"/>
    <w:rsid w:val="24EB6F86"/>
    <w:rsid w:val="25014FA8"/>
    <w:rsid w:val="25421E95"/>
    <w:rsid w:val="254479BB"/>
    <w:rsid w:val="2547125A"/>
    <w:rsid w:val="256C2A6E"/>
    <w:rsid w:val="25704DF0"/>
    <w:rsid w:val="25714529"/>
    <w:rsid w:val="25742CE5"/>
    <w:rsid w:val="257A62A6"/>
    <w:rsid w:val="258B7398"/>
    <w:rsid w:val="259D70CC"/>
    <w:rsid w:val="25A44C1D"/>
    <w:rsid w:val="25B85DB9"/>
    <w:rsid w:val="25EB7E37"/>
    <w:rsid w:val="260D4CD7"/>
    <w:rsid w:val="261D4AB8"/>
    <w:rsid w:val="26355556"/>
    <w:rsid w:val="263C6E3D"/>
    <w:rsid w:val="266F6CBA"/>
    <w:rsid w:val="26730698"/>
    <w:rsid w:val="268B161A"/>
    <w:rsid w:val="26A46307"/>
    <w:rsid w:val="271A072E"/>
    <w:rsid w:val="273C41A9"/>
    <w:rsid w:val="276E6F72"/>
    <w:rsid w:val="27815548"/>
    <w:rsid w:val="27A307D3"/>
    <w:rsid w:val="27B30E28"/>
    <w:rsid w:val="27C46B92"/>
    <w:rsid w:val="27CE1C00"/>
    <w:rsid w:val="27FF7BCA"/>
    <w:rsid w:val="2815563F"/>
    <w:rsid w:val="283A09CA"/>
    <w:rsid w:val="285919D0"/>
    <w:rsid w:val="287F0A51"/>
    <w:rsid w:val="288D1679"/>
    <w:rsid w:val="2890116A"/>
    <w:rsid w:val="28AC5BB5"/>
    <w:rsid w:val="28DC4131"/>
    <w:rsid w:val="28F65471"/>
    <w:rsid w:val="290C6A42"/>
    <w:rsid w:val="291161A5"/>
    <w:rsid w:val="291B6C85"/>
    <w:rsid w:val="294D59F3"/>
    <w:rsid w:val="29643845"/>
    <w:rsid w:val="298578A9"/>
    <w:rsid w:val="298A5BB9"/>
    <w:rsid w:val="298E7457"/>
    <w:rsid w:val="29AE1C3C"/>
    <w:rsid w:val="29CC2DAF"/>
    <w:rsid w:val="29D749F5"/>
    <w:rsid w:val="29E1421C"/>
    <w:rsid w:val="29EE77FA"/>
    <w:rsid w:val="2A077209"/>
    <w:rsid w:val="2A077678"/>
    <w:rsid w:val="2A0B3707"/>
    <w:rsid w:val="2A50295E"/>
    <w:rsid w:val="2A880099"/>
    <w:rsid w:val="2AED2464"/>
    <w:rsid w:val="2B0A1369"/>
    <w:rsid w:val="2B2A7653"/>
    <w:rsid w:val="2B4A1AA4"/>
    <w:rsid w:val="2B702EC5"/>
    <w:rsid w:val="2B801FE3"/>
    <w:rsid w:val="2B8E762A"/>
    <w:rsid w:val="2B960845"/>
    <w:rsid w:val="2BA3027D"/>
    <w:rsid w:val="2BBC58A8"/>
    <w:rsid w:val="2BC76DFE"/>
    <w:rsid w:val="2BCC1403"/>
    <w:rsid w:val="2BDA4BD6"/>
    <w:rsid w:val="2BF81500"/>
    <w:rsid w:val="2C1D2455"/>
    <w:rsid w:val="2C2449C3"/>
    <w:rsid w:val="2C5801F0"/>
    <w:rsid w:val="2C645A78"/>
    <w:rsid w:val="2C721392"/>
    <w:rsid w:val="2C864D5D"/>
    <w:rsid w:val="2C8F0F0E"/>
    <w:rsid w:val="2CBB28BF"/>
    <w:rsid w:val="2CD24B5A"/>
    <w:rsid w:val="2CDC672B"/>
    <w:rsid w:val="2D104627"/>
    <w:rsid w:val="2D2811B8"/>
    <w:rsid w:val="2D544B2D"/>
    <w:rsid w:val="2D76092E"/>
    <w:rsid w:val="2D776454"/>
    <w:rsid w:val="2D7E2062"/>
    <w:rsid w:val="2D8F0626"/>
    <w:rsid w:val="2DA059AB"/>
    <w:rsid w:val="2DB61DDA"/>
    <w:rsid w:val="2DC07DFB"/>
    <w:rsid w:val="2DD0732F"/>
    <w:rsid w:val="2DEC6E42"/>
    <w:rsid w:val="2DF330FC"/>
    <w:rsid w:val="2E184294"/>
    <w:rsid w:val="2E2A1AD6"/>
    <w:rsid w:val="2E456468"/>
    <w:rsid w:val="2E5F5866"/>
    <w:rsid w:val="2E796A4D"/>
    <w:rsid w:val="2EA63495"/>
    <w:rsid w:val="2EE1627B"/>
    <w:rsid w:val="2EED0D92"/>
    <w:rsid w:val="2F0106CB"/>
    <w:rsid w:val="2F39590F"/>
    <w:rsid w:val="2F3F11F4"/>
    <w:rsid w:val="2F51636D"/>
    <w:rsid w:val="2F6E0CEC"/>
    <w:rsid w:val="2F9652B7"/>
    <w:rsid w:val="2F996B56"/>
    <w:rsid w:val="2FAD2601"/>
    <w:rsid w:val="2FB1AED9"/>
    <w:rsid w:val="2FCB1ED7"/>
    <w:rsid w:val="30093BF4"/>
    <w:rsid w:val="302040C9"/>
    <w:rsid w:val="304C0A2C"/>
    <w:rsid w:val="30580FCA"/>
    <w:rsid w:val="305B35A4"/>
    <w:rsid w:val="305B7CA2"/>
    <w:rsid w:val="30690412"/>
    <w:rsid w:val="3069477A"/>
    <w:rsid w:val="30A65BBD"/>
    <w:rsid w:val="30E72737"/>
    <w:rsid w:val="3110349D"/>
    <w:rsid w:val="31533DAF"/>
    <w:rsid w:val="31534F2B"/>
    <w:rsid w:val="317D5181"/>
    <w:rsid w:val="318E34F3"/>
    <w:rsid w:val="319A7B18"/>
    <w:rsid w:val="31A1215D"/>
    <w:rsid w:val="31D22884"/>
    <w:rsid w:val="31E74BFA"/>
    <w:rsid w:val="325F217A"/>
    <w:rsid w:val="32C95ED6"/>
    <w:rsid w:val="32FD564D"/>
    <w:rsid w:val="330C487E"/>
    <w:rsid w:val="332B5D17"/>
    <w:rsid w:val="333F2823"/>
    <w:rsid w:val="337D1CAA"/>
    <w:rsid w:val="33972CEF"/>
    <w:rsid w:val="33C323F3"/>
    <w:rsid w:val="33D4015C"/>
    <w:rsid w:val="34026DCD"/>
    <w:rsid w:val="340C3D9A"/>
    <w:rsid w:val="341B2A3F"/>
    <w:rsid w:val="342310E4"/>
    <w:rsid w:val="346314E0"/>
    <w:rsid w:val="34694FD0"/>
    <w:rsid w:val="346D0B79"/>
    <w:rsid w:val="347F6B2D"/>
    <w:rsid w:val="349D49F2"/>
    <w:rsid w:val="34B87FA7"/>
    <w:rsid w:val="34C33809"/>
    <w:rsid w:val="34C370F0"/>
    <w:rsid w:val="34C74867"/>
    <w:rsid w:val="34CE423F"/>
    <w:rsid w:val="34DE375D"/>
    <w:rsid w:val="34E34C80"/>
    <w:rsid w:val="35020CF9"/>
    <w:rsid w:val="35126DD7"/>
    <w:rsid w:val="35202106"/>
    <w:rsid w:val="35480E7D"/>
    <w:rsid w:val="355A35E4"/>
    <w:rsid w:val="355F7EFA"/>
    <w:rsid w:val="359009FB"/>
    <w:rsid w:val="3594018D"/>
    <w:rsid w:val="35AB3590"/>
    <w:rsid w:val="35B50461"/>
    <w:rsid w:val="35D70C63"/>
    <w:rsid w:val="36146F36"/>
    <w:rsid w:val="3619279E"/>
    <w:rsid w:val="361E77EA"/>
    <w:rsid w:val="365B08E5"/>
    <w:rsid w:val="366D6055"/>
    <w:rsid w:val="369E5026"/>
    <w:rsid w:val="36A54032"/>
    <w:rsid w:val="36A81E21"/>
    <w:rsid w:val="36B10C29"/>
    <w:rsid w:val="36D826BA"/>
    <w:rsid w:val="36F020EC"/>
    <w:rsid w:val="36F81ED3"/>
    <w:rsid w:val="370C5E5F"/>
    <w:rsid w:val="371D6C15"/>
    <w:rsid w:val="372E4027"/>
    <w:rsid w:val="373A3202"/>
    <w:rsid w:val="374970B3"/>
    <w:rsid w:val="375A4E1C"/>
    <w:rsid w:val="377FA143"/>
    <w:rsid w:val="378A2A26"/>
    <w:rsid w:val="37976191"/>
    <w:rsid w:val="37AE43C8"/>
    <w:rsid w:val="37BA58BB"/>
    <w:rsid w:val="37E03ACD"/>
    <w:rsid w:val="37E1553E"/>
    <w:rsid w:val="37E17192"/>
    <w:rsid w:val="37F70639"/>
    <w:rsid w:val="37F76B0F"/>
    <w:rsid w:val="382471D8"/>
    <w:rsid w:val="382947EF"/>
    <w:rsid w:val="38342071"/>
    <w:rsid w:val="384A0AB9"/>
    <w:rsid w:val="38540EC5"/>
    <w:rsid w:val="387B329C"/>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DB4726"/>
    <w:rsid w:val="39F45C95"/>
    <w:rsid w:val="3A175247"/>
    <w:rsid w:val="3A1A6A7E"/>
    <w:rsid w:val="3A460279"/>
    <w:rsid w:val="3A541FF7"/>
    <w:rsid w:val="3A6A35C8"/>
    <w:rsid w:val="3A6F48EC"/>
    <w:rsid w:val="3A775CE5"/>
    <w:rsid w:val="3AC77992"/>
    <w:rsid w:val="3AF23BAA"/>
    <w:rsid w:val="3AF64E5C"/>
    <w:rsid w:val="3B043A1D"/>
    <w:rsid w:val="3B143AD9"/>
    <w:rsid w:val="3B5E56AF"/>
    <w:rsid w:val="3B5F50F7"/>
    <w:rsid w:val="3B660B7A"/>
    <w:rsid w:val="3B677B08"/>
    <w:rsid w:val="3B712735"/>
    <w:rsid w:val="3B7F30A4"/>
    <w:rsid w:val="3BB23479"/>
    <w:rsid w:val="3BC125D8"/>
    <w:rsid w:val="3BC22124"/>
    <w:rsid w:val="3BD333EF"/>
    <w:rsid w:val="3BE63123"/>
    <w:rsid w:val="3BEB40E5"/>
    <w:rsid w:val="3C0B53D0"/>
    <w:rsid w:val="3C1274D6"/>
    <w:rsid w:val="3C2123AD"/>
    <w:rsid w:val="3C2302D4"/>
    <w:rsid w:val="3C357C06"/>
    <w:rsid w:val="3C4636AC"/>
    <w:rsid w:val="3C5A766D"/>
    <w:rsid w:val="3C990195"/>
    <w:rsid w:val="3C9B5C70"/>
    <w:rsid w:val="3CA737D7"/>
    <w:rsid w:val="3CA971FF"/>
    <w:rsid w:val="3CD932CC"/>
    <w:rsid w:val="3CDF5803"/>
    <w:rsid w:val="3CE50A74"/>
    <w:rsid w:val="3D2070B3"/>
    <w:rsid w:val="3D6A38DF"/>
    <w:rsid w:val="3D726731"/>
    <w:rsid w:val="3D9A2417"/>
    <w:rsid w:val="3DDD2303"/>
    <w:rsid w:val="3DED7FBA"/>
    <w:rsid w:val="3DF00289"/>
    <w:rsid w:val="3DF338D5"/>
    <w:rsid w:val="3E0C2BE9"/>
    <w:rsid w:val="3E131B32"/>
    <w:rsid w:val="3E3F2FBE"/>
    <w:rsid w:val="3E52138E"/>
    <w:rsid w:val="3E774506"/>
    <w:rsid w:val="3E807CD4"/>
    <w:rsid w:val="3EB05C6A"/>
    <w:rsid w:val="3EC44811"/>
    <w:rsid w:val="3ED7339E"/>
    <w:rsid w:val="3EEF26A0"/>
    <w:rsid w:val="3EF94F1B"/>
    <w:rsid w:val="3F086759"/>
    <w:rsid w:val="3F1308C7"/>
    <w:rsid w:val="3F2B6B31"/>
    <w:rsid w:val="3F3E5A5E"/>
    <w:rsid w:val="3F6F1681"/>
    <w:rsid w:val="3F763AE5"/>
    <w:rsid w:val="3F8F3AD1"/>
    <w:rsid w:val="3FA51717"/>
    <w:rsid w:val="3FB3156E"/>
    <w:rsid w:val="3FB80293"/>
    <w:rsid w:val="3FDC6F42"/>
    <w:rsid w:val="3FEC672B"/>
    <w:rsid w:val="3FEE098B"/>
    <w:rsid w:val="3FF81676"/>
    <w:rsid w:val="400D6FF2"/>
    <w:rsid w:val="40381A73"/>
    <w:rsid w:val="404D5F3C"/>
    <w:rsid w:val="405F34AB"/>
    <w:rsid w:val="408C3F57"/>
    <w:rsid w:val="40994C08"/>
    <w:rsid w:val="40ED6D01"/>
    <w:rsid w:val="41197AF6"/>
    <w:rsid w:val="41311AB8"/>
    <w:rsid w:val="413C6378"/>
    <w:rsid w:val="41421F95"/>
    <w:rsid w:val="41524DB6"/>
    <w:rsid w:val="415957F8"/>
    <w:rsid w:val="417D7AB6"/>
    <w:rsid w:val="4193128C"/>
    <w:rsid w:val="41BB2A1D"/>
    <w:rsid w:val="421502BE"/>
    <w:rsid w:val="42521512"/>
    <w:rsid w:val="427F0D7E"/>
    <w:rsid w:val="42C13FC7"/>
    <w:rsid w:val="42C972FA"/>
    <w:rsid w:val="42CE38E4"/>
    <w:rsid w:val="42D71A17"/>
    <w:rsid w:val="42DF2B77"/>
    <w:rsid w:val="43141F04"/>
    <w:rsid w:val="43192030"/>
    <w:rsid w:val="43234C5C"/>
    <w:rsid w:val="43674D68"/>
    <w:rsid w:val="437C0128"/>
    <w:rsid w:val="43A162AA"/>
    <w:rsid w:val="43AB364F"/>
    <w:rsid w:val="43BB30E7"/>
    <w:rsid w:val="43C45BE9"/>
    <w:rsid w:val="43D877F5"/>
    <w:rsid w:val="43E82AE8"/>
    <w:rsid w:val="43F62440"/>
    <w:rsid w:val="440E1469"/>
    <w:rsid w:val="44275C2C"/>
    <w:rsid w:val="443B4B37"/>
    <w:rsid w:val="44785E06"/>
    <w:rsid w:val="448B2AB9"/>
    <w:rsid w:val="44BB12BF"/>
    <w:rsid w:val="44BE75A4"/>
    <w:rsid w:val="44D77AAC"/>
    <w:rsid w:val="44D96EB5"/>
    <w:rsid w:val="44E807B2"/>
    <w:rsid w:val="44FD328B"/>
    <w:rsid w:val="44FE16D9"/>
    <w:rsid w:val="45197D95"/>
    <w:rsid w:val="453C3DB3"/>
    <w:rsid w:val="4544536D"/>
    <w:rsid w:val="454909D7"/>
    <w:rsid w:val="454A1274"/>
    <w:rsid w:val="45A656D1"/>
    <w:rsid w:val="45AC0F39"/>
    <w:rsid w:val="45BE6EBE"/>
    <w:rsid w:val="45C0264F"/>
    <w:rsid w:val="45DB66EB"/>
    <w:rsid w:val="45E16709"/>
    <w:rsid w:val="45E61567"/>
    <w:rsid w:val="45EB67BF"/>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860730"/>
    <w:rsid w:val="47C23E75"/>
    <w:rsid w:val="47C4711A"/>
    <w:rsid w:val="47CE35B6"/>
    <w:rsid w:val="47D553C9"/>
    <w:rsid w:val="47D64E3B"/>
    <w:rsid w:val="47D77DC3"/>
    <w:rsid w:val="47F701A1"/>
    <w:rsid w:val="48206EC5"/>
    <w:rsid w:val="48425B85"/>
    <w:rsid w:val="48573151"/>
    <w:rsid w:val="485B6F56"/>
    <w:rsid w:val="486C2E58"/>
    <w:rsid w:val="489D7A2B"/>
    <w:rsid w:val="48A73C3A"/>
    <w:rsid w:val="48BB02CE"/>
    <w:rsid w:val="48BF1666"/>
    <w:rsid w:val="48C91E02"/>
    <w:rsid w:val="48E44E8E"/>
    <w:rsid w:val="48EA5297"/>
    <w:rsid w:val="490D6193"/>
    <w:rsid w:val="496D2E43"/>
    <w:rsid w:val="496F1724"/>
    <w:rsid w:val="497F0713"/>
    <w:rsid w:val="49976543"/>
    <w:rsid w:val="499B2377"/>
    <w:rsid w:val="49B52386"/>
    <w:rsid w:val="49D40A5E"/>
    <w:rsid w:val="4A294FFD"/>
    <w:rsid w:val="4A3931DF"/>
    <w:rsid w:val="4A576648"/>
    <w:rsid w:val="4A8204BA"/>
    <w:rsid w:val="4A91694F"/>
    <w:rsid w:val="4A9401EE"/>
    <w:rsid w:val="4A965D14"/>
    <w:rsid w:val="4AA91EEB"/>
    <w:rsid w:val="4AAB25EA"/>
    <w:rsid w:val="4ACC3E2B"/>
    <w:rsid w:val="4AD90875"/>
    <w:rsid w:val="4AD93E52"/>
    <w:rsid w:val="4ADB7BCB"/>
    <w:rsid w:val="4B1D5FED"/>
    <w:rsid w:val="4B2664A0"/>
    <w:rsid w:val="4B292E9E"/>
    <w:rsid w:val="4B577346"/>
    <w:rsid w:val="4B8E5C65"/>
    <w:rsid w:val="4B8F611F"/>
    <w:rsid w:val="4BC512CC"/>
    <w:rsid w:val="4CA16E18"/>
    <w:rsid w:val="4CAC5CC3"/>
    <w:rsid w:val="4CB03392"/>
    <w:rsid w:val="4CC15B9A"/>
    <w:rsid w:val="4CCE742F"/>
    <w:rsid w:val="4D087E01"/>
    <w:rsid w:val="4D111FCA"/>
    <w:rsid w:val="4D144360"/>
    <w:rsid w:val="4D176E22"/>
    <w:rsid w:val="4D1936FE"/>
    <w:rsid w:val="4D7B7443"/>
    <w:rsid w:val="4D7D31BB"/>
    <w:rsid w:val="4D932C89"/>
    <w:rsid w:val="4DED2C00"/>
    <w:rsid w:val="4E3B72FE"/>
    <w:rsid w:val="4E480880"/>
    <w:rsid w:val="4E7A4E88"/>
    <w:rsid w:val="4E8567CB"/>
    <w:rsid w:val="4E9B7D9D"/>
    <w:rsid w:val="4EDE6BB6"/>
    <w:rsid w:val="4EE75DD3"/>
    <w:rsid w:val="4EED611E"/>
    <w:rsid w:val="4EF4576E"/>
    <w:rsid w:val="4EFA31E8"/>
    <w:rsid w:val="4EFD473B"/>
    <w:rsid w:val="4EFE20DA"/>
    <w:rsid w:val="4F2C7509"/>
    <w:rsid w:val="4F43655C"/>
    <w:rsid w:val="4F4421E2"/>
    <w:rsid w:val="4F512177"/>
    <w:rsid w:val="4FAA42E2"/>
    <w:rsid w:val="4FB56C3C"/>
    <w:rsid w:val="4FD317B8"/>
    <w:rsid w:val="4FD77B44"/>
    <w:rsid w:val="4FDC4E22"/>
    <w:rsid w:val="4FE63299"/>
    <w:rsid w:val="4FFE48C8"/>
    <w:rsid w:val="50096F88"/>
    <w:rsid w:val="501A2F43"/>
    <w:rsid w:val="505521CD"/>
    <w:rsid w:val="509E1DC6"/>
    <w:rsid w:val="50AB73F8"/>
    <w:rsid w:val="50F012F8"/>
    <w:rsid w:val="51087240"/>
    <w:rsid w:val="5109330E"/>
    <w:rsid w:val="511C70A0"/>
    <w:rsid w:val="513A2B46"/>
    <w:rsid w:val="514C0BA2"/>
    <w:rsid w:val="515E6E0C"/>
    <w:rsid w:val="5184720E"/>
    <w:rsid w:val="518C2B69"/>
    <w:rsid w:val="51BD3853"/>
    <w:rsid w:val="51C25640"/>
    <w:rsid w:val="51DF61F2"/>
    <w:rsid w:val="52067C23"/>
    <w:rsid w:val="520C2D5F"/>
    <w:rsid w:val="523C0B5D"/>
    <w:rsid w:val="52483D98"/>
    <w:rsid w:val="524C3F12"/>
    <w:rsid w:val="528A4270"/>
    <w:rsid w:val="529707BB"/>
    <w:rsid w:val="52AC48D9"/>
    <w:rsid w:val="52D01FDF"/>
    <w:rsid w:val="52F757BE"/>
    <w:rsid w:val="52FB60E3"/>
    <w:rsid w:val="534948AC"/>
    <w:rsid w:val="534C78B7"/>
    <w:rsid w:val="536F35A6"/>
    <w:rsid w:val="53766694"/>
    <w:rsid w:val="5392690C"/>
    <w:rsid w:val="539E3D25"/>
    <w:rsid w:val="53BF0356"/>
    <w:rsid w:val="53E73A84"/>
    <w:rsid w:val="53EF03F9"/>
    <w:rsid w:val="53F227FF"/>
    <w:rsid w:val="546E0E6E"/>
    <w:rsid w:val="548723F6"/>
    <w:rsid w:val="548B440F"/>
    <w:rsid w:val="54977258"/>
    <w:rsid w:val="54A07777"/>
    <w:rsid w:val="54A454D1"/>
    <w:rsid w:val="54B35714"/>
    <w:rsid w:val="54C94F38"/>
    <w:rsid w:val="54D901BE"/>
    <w:rsid w:val="54F12E40"/>
    <w:rsid w:val="54FB1595"/>
    <w:rsid w:val="55006BAB"/>
    <w:rsid w:val="550146D2"/>
    <w:rsid w:val="552873EA"/>
    <w:rsid w:val="5536081F"/>
    <w:rsid w:val="554271C4"/>
    <w:rsid w:val="558E2409"/>
    <w:rsid w:val="558F1CDD"/>
    <w:rsid w:val="55C6716D"/>
    <w:rsid w:val="56356D29"/>
    <w:rsid w:val="563768A6"/>
    <w:rsid w:val="569A4B00"/>
    <w:rsid w:val="56B20379"/>
    <w:rsid w:val="56B61E25"/>
    <w:rsid w:val="56F35A6B"/>
    <w:rsid w:val="56F95FA8"/>
    <w:rsid w:val="57364ED4"/>
    <w:rsid w:val="574216FD"/>
    <w:rsid w:val="5747725D"/>
    <w:rsid w:val="574B719F"/>
    <w:rsid w:val="57931C5D"/>
    <w:rsid w:val="579F2698"/>
    <w:rsid w:val="57A04676"/>
    <w:rsid w:val="57A6504E"/>
    <w:rsid w:val="57B036BF"/>
    <w:rsid w:val="57DE6F4C"/>
    <w:rsid w:val="585938DC"/>
    <w:rsid w:val="586A08FB"/>
    <w:rsid w:val="586F35A6"/>
    <w:rsid w:val="58901341"/>
    <w:rsid w:val="589B5A12"/>
    <w:rsid w:val="589B7148"/>
    <w:rsid w:val="58A0731D"/>
    <w:rsid w:val="58B22C74"/>
    <w:rsid w:val="58D5289E"/>
    <w:rsid w:val="58EB1921"/>
    <w:rsid w:val="594352B9"/>
    <w:rsid w:val="594B6864"/>
    <w:rsid w:val="59594ADC"/>
    <w:rsid w:val="59BF314E"/>
    <w:rsid w:val="59CE1603"/>
    <w:rsid w:val="59D56AC7"/>
    <w:rsid w:val="59EB1360"/>
    <w:rsid w:val="5A497C80"/>
    <w:rsid w:val="5A4C2893"/>
    <w:rsid w:val="5A4C4641"/>
    <w:rsid w:val="5A56726E"/>
    <w:rsid w:val="5A5D069C"/>
    <w:rsid w:val="5A7A7400"/>
    <w:rsid w:val="5AAA6DF6"/>
    <w:rsid w:val="5ABB161D"/>
    <w:rsid w:val="5AD50E07"/>
    <w:rsid w:val="5AE0204E"/>
    <w:rsid w:val="5B2F1959"/>
    <w:rsid w:val="5B3510DA"/>
    <w:rsid w:val="5B6A1223"/>
    <w:rsid w:val="5B7846FC"/>
    <w:rsid w:val="5B9770FF"/>
    <w:rsid w:val="5BA670C3"/>
    <w:rsid w:val="5BBE45DA"/>
    <w:rsid w:val="5BDD751A"/>
    <w:rsid w:val="5BDE751B"/>
    <w:rsid w:val="5BEA2363"/>
    <w:rsid w:val="5BF37867"/>
    <w:rsid w:val="5BFC5BF3"/>
    <w:rsid w:val="5C14118E"/>
    <w:rsid w:val="5C1971AA"/>
    <w:rsid w:val="5C1977BA"/>
    <w:rsid w:val="5C2C0286"/>
    <w:rsid w:val="5C356B36"/>
    <w:rsid w:val="5C526A6B"/>
    <w:rsid w:val="5C800620"/>
    <w:rsid w:val="5C9F6E34"/>
    <w:rsid w:val="5CBA7F88"/>
    <w:rsid w:val="5CEC4266"/>
    <w:rsid w:val="5CEF876A"/>
    <w:rsid w:val="5CF72E43"/>
    <w:rsid w:val="5D101956"/>
    <w:rsid w:val="5D186A5C"/>
    <w:rsid w:val="5D445AA3"/>
    <w:rsid w:val="5D580B39"/>
    <w:rsid w:val="5D611272"/>
    <w:rsid w:val="5D6677C8"/>
    <w:rsid w:val="5D717D54"/>
    <w:rsid w:val="5D823E2B"/>
    <w:rsid w:val="5D916F3A"/>
    <w:rsid w:val="5DA30DE2"/>
    <w:rsid w:val="5DA87DE0"/>
    <w:rsid w:val="5DDC5CDC"/>
    <w:rsid w:val="5DE11AE0"/>
    <w:rsid w:val="5DEF5A0F"/>
    <w:rsid w:val="5E04010E"/>
    <w:rsid w:val="5E156056"/>
    <w:rsid w:val="5E39312E"/>
    <w:rsid w:val="5E4E3C88"/>
    <w:rsid w:val="5E563CE0"/>
    <w:rsid w:val="5E810C58"/>
    <w:rsid w:val="5E8C37C6"/>
    <w:rsid w:val="5E923424"/>
    <w:rsid w:val="5E987E55"/>
    <w:rsid w:val="5EA100BC"/>
    <w:rsid w:val="5EB629D1"/>
    <w:rsid w:val="5EEB267A"/>
    <w:rsid w:val="5F0854AF"/>
    <w:rsid w:val="5F13572D"/>
    <w:rsid w:val="5F2F74DC"/>
    <w:rsid w:val="5F6661A5"/>
    <w:rsid w:val="5F895313"/>
    <w:rsid w:val="5FA236FB"/>
    <w:rsid w:val="5FA52A80"/>
    <w:rsid w:val="5FA665A1"/>
    <w:rsid w:val="5FDC139B"/>
    <w:rsid w:val="5FE330FB"/>
    <w:rsid w:val="5FE570CA"/>
    <w:rsid w:val="5FE84E0C"/>
    <w:rsid w:val="5FF20CB6"/>
    <w:rsid w:val="601A70A7"/>
    <w:rsid w:val="605528D6"/>
    <w:rsid w:val="60561DC8"/>
    <w:rsid w:val="60662F41"/>
    <w:rsid w:val="60C05441"/>
    <w:rsid w:val="60E75EAA"/>
    <w:rsid w:val="60F4333C"/>
    <w:rsid w:val="61092553"/>
    <w:rsid w:val="610C68D8"/>
    <w:rsid w:val="610F0880"/>
    <w:rsid w:val="613568C0"/>
    <w:rsid w:val="615A3AE7"/>
    <w:rsid w:val="61774C63"/>
    <w:rsid w:val="61A009AB"/>
    <w:rsid w:val="61AD00BB"/>
    <w:rsid w:val="61B431F8"/>
    <w:rsid w:val="61EA2AE9"/>
    <w:rsid w:val="62255EA3"/>
    <w:rsid w:val="6232198F"/>
    <w:rsid w:val="62375D0F"/>
    <w:rsid w:val="627C183B"/>
    <w:rsid w:val="627D0A2E"/>
    <w:rsid w:val="628F2C23"/>
    <w:rsid w:val="6297152E"/>
    <w:rsid w:val="62E0626E"/>
    <w:rsid w:val="62EC694C"/>
    <w:rsid w:val="62F11A25"/>
    <w:rsid w:val="62F12229"/>
    <w:rsid w:val="62F93168"/>
    <w:rsid w:val="631420A6"/>
    <w:rsid w:val="63174D32"/>
    <w:rsid w:val="631C1689"/>
    <w:rsid w:val="63644D67"/>
    <w:rsid w:val="63900C24"/>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047E9"/>
    <w:rsid w:val="67010FAE"/>
    <w:rsid w:val="670709C9"/>
    <w:rsid w:val="67091FF8"/>
    <w:rsid w:val="671464E6"/>
    <w:rsid w:val="67391B54"/>
    <w:rsid w:val="673A7076"/>
    <w:rsid w:val="67726DC2"/>
    <w:rsid w:val="677C52C0"/>
    <w:rsid w:val="67CC3565"/>
    <w:rsid w:val="67F30628"/>
    <w:rsid w:val="6804110B"/>
    <w:rsid w:val="681542C4"/>
    <w:rsid w:val="683C3591"/>
    <w:rsid w:val="68694610"/>
    <w:rsid w:val="689C6E7A"/>
    <w:rsid w:val="68A41113"/>
    <w:rsid w:val="68E74955"/>
    <w:rsid w:val="68F81CF6"/>
    <w:rsid w:val="69025553"/>
    <w:rsid w:val="69313380"/>
    <w:rsid w:val="6933534A"/>
    <w:rsid w:val="69382BCC"/>
    <w:rsid w:val="69407A67"/>
    <w:rsid w:val="695D5F23"/>
    <w:rsid w:val="69635503"/>
    <w:rsid w:val="698F5362"/>
    <w:rsid w:val="69D80288"/>
    <w:rsid w:val="69DA6AD0"/>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D62942"/>
    <w:rsid w:val="6BFD579B"/>
    <w:rsid w:val="6C1E4825"/>
    <w:rsid w:val="6C272818"/>
    <w:rsid w:val="6C6E6699"/>
    <w:rsid w:val="6C7A2647"/>
    <w:rsid w:val="6C7D4371"/>
    <w:rsid w:val="6C8934D3"/>
    <w:rsid w:val="6C9724E6"/>
    <w:rsid w:val="6CA60F7E"/>
    <w:rsid w:val="6CB322FE"/>
    <w:rsid w:val="6CD00DD4"/>
    <w:rsid w:val="6D0648F8"/>
    <w:rsid w:val="6D30551D"/>
    <w:rsid w:val="6D5D6CA1"/>
    <w:rsid w:val="6D602A26"/>
    <w:rsid w:val="6D68000B"/>
    <w:rsid w:val="6D6B3B64"/>
    <w:rsid w:val="6D6E2CE4"/>
    <w:rsid w:val="6D7B2E1B"/>
    <w:rsid w:val="6D837F22"/>
    <w:rsid w:val="6D9A0803"/>
    <w:rsid w:val="6DC24EEE"/>
    <w:rsid w:val="6DE05374"/>
    <w:rsid w:val="6DE472BF"/>
    <w:rsid w:val="6E142DAF"/>
    <w:rsid w:val="6E2023C3"/>
    <w:rsid w:val="6E3F7222"/>
    <w:rsid w:val="6E4F6262"/>
    <w:rsid w:val="6E5024FA"/>
    <w:rsid w:val="6E530CE0"/>
    <w:rsid w:val="6E7E2306"/>
    <w:rsid w:val="6E7F06E9"/>
    <w:rsid w:val="6E947F9F"/>
    <w:rsid w:val="6EB31AE4"/>
    <w:rsid w:val="6EC02A71"/>
    <w:rsid w:val="6EC96996"/>
    <w:rsid w:val="6F03756C"/>
    <w:rsid w:val="6F053705"/>
    <w:rsid w:val="6F235B2A"/>
    <w:rsid w:val="6F307C36"/>
    <w:rsid w:val="6F545DCB"/>
    <w:rsid w:val="6F9079A9"/>
    <w:rsid w:val="6F963F3C"/>
    <w:rsid w:val="6FAF4FFE"/>
    <w:rsid w:val="6FC34F4E"/>
    <w:rsid w:val="6FE832A7"/>
    <w:rsid w:val="7005505B"/>
    <w:rsid w:val="701A7C8E"/>
    <w:rsid w:val="70316C3E"/>
    <w:rsid w:val="70360F37"/>
    <w:rsid w:val="7036127C"/>
    <w:rsid w:val="706A4DE8"/>
    <w:rsid w:val="706E310B"/>
    <w:rsid w:val="707324D0"/>
    <w:rsid w:val="70DD7539"/>
    <w:rsid w:val="70E75A48"/>
    <w:rsid w:val="70F84783"/>
    <w:rsid w:val="711A294B"/>
    <w:rsid w:val="711D608B"/>
    <w:rsid w:val="7131264B"/>
    <w:rsid w:val="71333633"/>
    <w:rsid w:val="714A76D4"/>
    <w:rsid w:val="714B3D0C"/>
    <w:rsid w:val="714D7D9B"/>
    <w:rsid w:val="715450B9"/>
    <w:rsid w:val="71867108"/>
    <w:rsid w:val="71994217"/>
    <w:rsid w:val="719F5810"/>
    <w:rsid w:val="71B608C6"/>
    <w:rsid w:val="71BF7CD7"/>
    <w:rsid w:val="71E2119E"/>
    <w:rsid w:val="71E511AB"/>
    <w:rsid w:val="71ED0060"/>
    <w:rsid w:val="721E1F7A"/>
    <w:rsid w:val="723563E3"/>
    <w:rsid w:val="72415A14"/>
    <w:rsid w:val="72516112"/>
    <w:rsid w:val="72642AC5"/>
    <w:rsid w:val="72655E48"/>
    <w:rsid w:val="7278201F"/>
    <w:rsid w:val="727D3EC1"/>
    <w:rsid w:val="728B7A1B"/>
    <w:rsid w:val="72991BA2"/>
    <w:rsid w:val="72C57656"/>
    <w:rsid w:val="72C911B9"/>
    <w:rsid w:val="72CA7307"/>
    <w:rsid w:val="72D336FA"/>
    <w:rsid w:val="72D55DFF"/>
    <w:rsid w:val="730E125E"/>
    <w:rsid w:val="735E459D"/>
    <w:rsid w:val="73730B67"/>
    <w:rsid w:val="737317C0"/>
    <w:rsid w:val="737E18B7"/>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800B89"/>
    <w:rsid w:val="75814997"/>
    <w:rsid w:val="75881DC8"/>
    <w:rsid w:val="758F0063"/>
    <w:rsid w:val="759058D2"/>
    <w:rsid w:val="75B570E6"/>
    <w:rsid w:val="75B62C3C"/>
    <w:rsid w:val="75C62406"/>
    <w:rsid w:val="75CD53E8"/>
    <w:rsid w:val="75CE6012"/>
    <w:rsid w:val="760E1811"/>
    <w:rsid w:val="761C4DE6"/>
    <w:rsid w:val="762F3A3B"/>
    <w:rsid w:val="76813CDB"/>
    <w:rsid w:val="76D67314"/>
    <w:rsid w:val="76E41A31"/>
    <w:rsid w:val="770D0200"/>
    <w:rsid w:val="77302EC9"/>
    <w:rsid w:val="777A05E8"/>
    <w:rsid w:val="7797301C"/>
    <w:rsid w:val="779C055E"/>
    <w:rsid w:val="77B05DB7"/>
    <w:rsid w:val="77CA24A3"/>
    <w:rsid w:val="77CB0E43"/>
    <w:rsid w:val="780F53D9"/>
    <w:rsid w:val="784D1858"/>
    <w:rsid w:val="786D2DBB"/>
    <w:rsid w:val="78762B5D"/>
    <w:rsid w:val="79415E38"/>
    <w:rsid w:val="794F5179"/>
    <w:rsid w:val="79621333"/>
    <w:rsid w:val="796C5D0E"/>
    <w:rsid w:val="79747688"/>
    <w:rsid w:val="79A149AA"/>
    <w:rsid w:val="79DC10E6"/>
    <w:rsid w:val="79EF459A"/>
    <w:rsid w:val="79F8284F"/>
    <w:rsid w:val="7A2F7D9D"/>
    <w:rsid w:val="7A3A3D34"/>
    <w:rsid w:val="7A6C06BC"/>
    <w:rsid w:val="7A85177D"/>
    <w:rsid w:val="7AD80C68"/>
    <w:rsid w:val="7AFE53E3"/>
    <w:rsid w:val="7B2B3082"/>
    <w:rsid w:val="7B3215A7"/>
    <w:rsid w:val="7B5B428C"/>
    <w:rsid w:val="7B62386D"/>
    <w:rsid w:val="7B707D38"/>
    <w:rsid w:val="7B727A67"/>
    <w:rsid w:val="7B8C2622"/>
    <w:rsid w:val="7B8E01CC"/>
    <w:rsid w:val="7B8F47B2"/>
    <w:rsid w:val="7B94630E"/>
    <w:rsid w:val="7B9A557E"/>
    <w:rsid w:val="7B9D6653"/>
    <w:rsid w:val="7BA63759"/>
    <w:rsid w:val="7BA75723"/>
    <w:rsid w:val="7BD7701C"/>
    <w:rsid w:val="7C093CE8"/>
    <w:rsid w:val="7C0E12FE"/>
    <w:rsid w:val="7C345209"/>
    <w:rsid w:val="7C703D67"/>
    <w:rsid w:val="7C7750F6"/>
    <w:rsid w:val="7C790F05"/>
    <w:rsid w:val="7C8F243F"/>
    <w:rsid w:val="7CC2297D"/>
    <w:rsid w:val="7CC3658D"/>
    <w:rsid w:val="7CCF6CE0"/>
    <w:rsid w:val="7CF44998"/>
    <w:rsid w:val="7CF73522"/>
    <w:rsid w:val="7CF77FE5"/>
    <w:rsid w:val="7D3F0F69"/>
    <w:rsid w:val="7D40198C"/>
    <w:rsid w:val="7D4475BA"/>
    <w:rsid w:val="7D4F1BCF"/>
    <w:rsid w:val="7D51007D"/>
    <w:rsid w:val="7D5F7B71"/>
    <w:rsid w:val="7D6732A3"/>
    <w:rsid w:val="7D6E4798"/>
    <w:rsid w:val="7D7D37EF"/>
    <w:rsid w:val="7DA939D5"/>
    <w:rsid w:val="7DC97BD3"/>
    <w:rsid w:val="7DD07F4F"/>
    <w:rsid w:val="7DED6124"/>
    <w:rsid w:val="7E105802"/>
    <w:rsid w:val="7E143EB6"/>
    <w:rsid w:val="7E394D59"/>
    <w:rsid w:val="7E4159BB"/>
    <w:rsid w:val="7E813A79"/>
    <w:rsid w:val="7ECF1219"/>
    <w:rsid w:val="7EDBDD5D"/>
    <w:rsid w:val="7F0E1C68"/>
    <w:rsid w:val="7F4A44F5"/>
    <w:rsid w:val="7F7D0C75"/>
    <w:rsid w:val="7F7D6EC7"/>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3021</Words>
  <Characters>3649</Characters>
  <Lines>460</Lines>
  <Paragraphs>129</Paragraphs>
  <TotalTime>7</TotalTime>
  <ScaleCrop>false</ScaleCrop>
  <LinksUpToDate>false</LinksUpToDate>
  <CharactersWithSpaces>3888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LT</cp:lastModifiedBy>
  <cp:lastPrinted>2022-06-08T19:12:00Z</cp:lastPrinted>
  <dcterms:modified xsi:type="dcterms:W3CDTF">2025-06-04T01:33:15Z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2052-12.1.0.21541</vt:lpwstr>
  </property>
  <property fmtid="{D5CDD505-2E9C-101B-9397-08002B2CF9AE}" pid="6" name="ICV">
    <vt:lpwstr>0E21CBD40AA8416A94EE896859BF7A43_13</vt:lpwstr>
  </property>
  <property fmtid="{D5CDD505-2E9C-101B-9397-08002B2CF9AE}" pid="7" name="KSOTemplateDocerSaveRecord">
    <vt:lpwstr>eyJoZGlkIjoiM2Q4YmJkYTAyZWM2OTc2Y2IzNjcwZTc1OTkyY2M1ZWEiLCJ1c2VySWQiOiI4NTY0NDYzODUifQ==</vt:lpwstr>
  </property>
</Properties>
</file>